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27.99999999999997" w:lineRule="auto"/>
        <w:jc w:val="center"/>
        <w:rPr>
          <w:b w:val="1"/>
          <w:bCs w:val="1"/>
        </w:rPr>
      </w:pPr>
      <w:bookmarkStart w:colFirst="0" w:colLast="0" w:name="_sgfuuqy553ov" w:id="0"/>
      <w:bookmarkEnd w:id="0"/>
      <w:r w:rsidDel="00000000" w:rsidR="00000000" w:rsidRPr="00000000">
        <w:rPr>
          <w:b w:val="1"/>
          <w:bCs w:val="1"/>
          <w:rtl w:val="0"/>
        </w:rPr>
        <w:t xml:space="preserve">Literacy and the Science of Learning Podcast </w:t>
      </w:r>
    </w:p>
    <w:p w:rsidR="00000000" w:rsidDel="00000000" w:rsidP="00000000" w:rsidRDefault="00000000" w:rsidRPr="00000000" w14:paraId="00000002">
      <w:pPr>
        <w:pStyle w:val="Heading1"/>
        <w:spacing w:after="0" w:before="0" w:line="227.99999999999997" w:lineRule="auto"/>
        <w:jc w:val="center"/>
        <w:rPr/>
      </w:pPr>
      <w:bookmarkStart w:colFirst="0" w:colLast="0" w:name="_qmimdonlvz7v" w:id="1"/>
      <w:bookmarkEnd w:id="1"/>
      <w:r w:rsidDel="00000000" w:rsidR="00000000" w:rsidRPr="00000000">
        <w:rPr>
          <w:rtl w:val="0"/>
        </w:rPr>
        <w:t xml:space="preserve">Study Guide, Episodes 1-2</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Just about everyone in education agrees that we should teach our students to think. Over the last thirty years or so, this has led many people to suggest that we should teach thinking skills. The logic is attractive. After all, if we teach our students to think, then they will be able to use those thinking skills wherever they want to. Unfortunately, as we have learned, such thinking skills programs have been a waste of time, not because they were badly designed, or poorly implemented, but because those generic thinking skills do not exist.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is not obvious, because when we ask historians and mathematicians to describe what they mean by, for example, critical thinking, they say very similar things. This has led people to conclude that critical thinking is a single skill, but it is not. Critical thinking in mathematics and in history are superficially similar skills that rely on fundamentally different mental processes. In particular, when our students think critically or creatively, they do not do this by applying generic skills but by drawing on vast reserves of knowledge. That is why knowledge matters.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Now many students acquire much of these reserves of knowledge from their home environment, but many do not. Teaching for equity requires ensuring that all students acquire these reserves of knowledge, and these podcasts are intended to help teachers ensure that their students acquire the knowledge they need to flourish and thrive.</w:t>
      </w:r>
      <w:r w:rsidDel="00000000" w:rsidR="00000000" w:rsidRPr="00000000">
        <w:rPr>
          <w:rtl w:val="0"/>
        </w:rPr>
      </w:r>
    </w:p>
    <w:p w:rsidR="00000000" w:rsidDel="00000000" w:rsidP="00000000" w:rsidRDefault="00000000" w:rsidRPr="00000000" w14:paraId="00000009">
      <w:pPr>
        <w:pStyle w:val="Heading2"/>
        <w:rPr>
          <w:b w:val="1"/>
          <w:bCs w:val="1"/>
        </w:rPr>
      </w:pPr>
      <w:bookmarkStart w:colFirst="0" w:colLast="0" w:name="_ch1gyr529njt" w:id="2"/>
      <w:bookmarkEnd w:id="2"/>
      <w:r w:rsidDel="00000000" w:rsidR="00000000" w:rsidRPr="00000000">
        <w:rPr>
          <w:b w:val="1"/>
          <w:bCs w:val="1"/>
          <w:rtl w:val="0"/>
        </w:rPr>
        <w:t xml:space="preserve">Big-picture goals</w:t>
      </w:r>
    </w:p>
    <w:p w:rsidR="00000000" w:rsidDel="00000000" w:rsidP="00000000" w:rsidRDefault="00000000" w:rsidRPr="00000000" w14:paraId="0000000A">
      <w:pPr>
        <w:numPr>
          <w:ilvl w:val="0"/>
          <w:numId w:val="7"/>
        </w:numPr>
        <w:spacing w:after="200" w:lineRule="auto"/>
        <w:ind w:left="360"/>
      </w:pPr>
      <w:r w:rsidDel="00000000" w:rsidR="00000000" w:rsidRPr="00000000">
        <w:rPr>
          <w:rtl w:val="0"/>
        </w:rPr>
        <w:t xml:space="preserve">Understand why Dylan Wiliam argues that knowledge—not generic “skills”—is the non-negotiable foundation of expertise.</w:t>
      </w:r>
    </w:p>
    <w:p w:rsidR="00000000" w:rsidDel="00000000" w:rsidP="00000000" w:rsidRDefault="00000000" w:rsidRPr="00000000" w14:paraId="0000000B">
      <w:pPr>
        <w:numPr>
          <w:ilvl w:val="0"/>
          <w:numId w:val="7"/>
        </w:numPr>
        <w:spacing w:after="200" w:lineRule="auto"/>
        <w:ind w:left="360"/>
      </w:pPr>
      <w:r w:rsidDel="00000000" w:rsidR="00000000" w:rsidRPr="00000000">
        <w:rPr>
          <w:rtl w:val="0"/>
        </w:rPr>
        <w:t xml:space="preserve">Describe how working memory, long-term memory, storage strength, and retrieval strength interact in learning.</w:t>
      </w:r>
    </w:p>
    <w:p w:rsidR="00000000" w:rsidDel="00000000" w:rsidP="00000000" w:rsidRDefault="00000000" w:rsidRPr="00000000" w14:paraId="0000000C">
      <w:pPr>
        <w:numPr>
          <w:ilvl w:val="0"/>
          <w:numId w:val="7"/>
        </w:numPr>
        <w:spacing w:after="200" w:lineRule="auto"/>
        <w:ind w:left="360"/>
      </w:pPr>
      <w:r w:rsidDel="00000000" w:rsidR="00000000" w:rsidRPr="00000000">
        <w:rPr>
          <w:rtl w:val="0"/>
        </w:rPr>
        <w:t xml:space="preserve">Identify classroom practices that protect working-memory capacity and strengthen long-term retention.</w:t>
      </w:r>
    </w:p>
    <w:p w:rsidR="00000000" w:rsidDel="00000000" w:rsidP="00000000" w:rsidRDefault="00000000" w:rsidRPr="00000000" w14:paraId="0000000D">
      <w:pPr>
        <w:numPr>
          <w:ilvl w:val="0"/>
          <w:numId w:val="7"/>
        </w:numPr>
        <w:spacing w:after="200" w:lineRule="auto"/>
        <w:ind w:left="360"/>
      </w:pPr>
      <w:r w:rsidDel="00000000" w:rsidR="00000000" w:rsidRPr="00000000">
        <w:rPr>
          <w:rtl w:val="0"/>
        </w:rPr>
        <w:t xml:space="preserve">Apply at least three evidence-based study or teaching techniques (e.g., spaced retrieval, interleaving, worked examples).</w:t>
      </w:r>
      <w:r w:rsidDel="00000000" w:rsidR="00000000" w:rsidRPr="00000000">
        <w:rPr>
          <w:rtl w:val="0"/>
        </w:rPr>
      </w:r>
    </w:p>
    <w:p w:rsidR="00000000" w:rsidDel="00000000" w:rsidP="00000000" w:rsidRDefault="00000000" w:rsidRPr="00000000" w14:paraId="0000000E">
      <w:pPr>
        <w:pStyle w:val="Heading2"/>
        <w:rPr>
          <w:rFonts w:ascii="Arial" w:cs="Arial" w:eastAsia="Arial" w:hAnsi="Arial"/>
          <w:color w:val="434343"/>
        </w:rPr>
      </w:pPr>
      <w:bookmarkStart w:colFirst="0" w:colLast="0" w:name="_zo6pndivglt" w:id="3"/>
      <w:bookmarkEnd w:id="3"/>
      <w:r w:rsidDel="00000000" w:rsidR="00000000" w:rsidRPr="00000000">
        <w:rPr>
          <w:b w:val="1"/>
          <w:bCs w:val="1"/>
          <w:rtl w:val="0"/>
        </w:rPr>
        <w:t xml:space="preserve">Episode snapshots</w:t>
      </w:r>
      <w:r w:rsidDel="00000000" w:rsidR="00000000" w:rsidRPr="00000000">
        <w:rPr>
          <w:rtl w:val="0"/>
        </w:rPr>
      </w:r>
    </w:p>
    <w:tbl>
      <w:tblPr>
        <w:tblStyle w:val="Table1"/>
        <w:tblW w:w="10080.0" w:type="dxa"/>
        <w:jc w:val="left"/>
        <w:tblInd w:w="-115.0" w:type="dxa"/>
        <w:tblLayout w:type="fixed"/>
        <w:tblLook w:val="04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0F">
            <w:pPr>
              <w:rPr>
                <w:b w:val="1"/>
                <w:bCs w:val="1"/>
                <w:color w:val="ffffff"/>
              </w:rPr>
            </w:pPr>
            <w:r w:rsidDel="00000000" w:rsidR="00000000" w:rsidRPr="00000000">
              <w:rPr>
                <w:b w:val="1"/>
                <w:bCs w:val="1"/>
                <w:color w:val="ffffff"/>
                <w:rtl w:val="0"/>
              </w:rPr>
              <w:t xml:space="preserve">Episode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0">
            <w:pPr>
              <w:rPr>
                <w:b w:val="1"/>
                <w:bCs w:val="1"/>
                <w:color w:val="ffffff"/>
              </w:rPr>
            </w:pPr>
            <w:r w:rsidDel="00000000" w:rsidR="00000000" w:rsidRPr="00000000">
              <w:rPr>
                <w:b w:val="1"/>
                <w:bCs w:val="1"/>
                <w:color w:val="ffffff"/>
                <w:rtl w:val="0"/>
              </w:rPr>
              <w:t xml:space="preserve">Core message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1">
            <w:pPr>
              <w:rPr>
                <w:b w:val="1"/>
                <w:bCs w:val="1"/>
                <w:color w:val="ffffff"/>
              </w:rPr>
            </w:pPr>
            <w:r w:rsidDel="00000000" w:rsidR="00000000" w:rsidRPr="00000000">
              <w:rPr>
                <w:b w:val="1"/>
                <w:bCs w:val="1"/>
                <w:color w:val="ffffff"/>
                <w:rtl w:val="0"/>
              </w:rPr>
              <w:t xml:space="preserve">Must-know concepts</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2">
            <w:pPr>
              <w:rPr>
                <w:b w:val="1"/>
                <w:bCs w:val="1"/>
                <w:color w:val="ffffff"/>
              </w:rPr>
            </w:pPr>
            <w:r w:rsidDel="00000000" w:rsidR="00000000" w:rsidRPr="00000000">
              <w:rPr>
                <w:b w:val="1"/>
                <w:bCs w:val="1"/>
                <w:color w:val="ffffff"/>
                <w:rtl w:val="0"/>
              </w:rPr>
              <w:t xml:space="preserve">Illustrative examples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3">
            <w:pPr>
              <w:spacing w:line="240" w:lineRule="auto"/>
              <w:rPr>
                <w:b w:val="1"/>
                <w:bCs w:val="1"/>
              </w:rPr>
            </w:pPr>
            <w:r w:rsidDel="00000000" w:rsidR="00000000" w:rsidRPr="00000000">
              <w:rPr>
                <w:b w:val="1"/>
                <w:bCs w:val="1"/>
                <w:rtl w:val="0"/>
              </w:rPr>
              <w:t xml:space="preserve">1 – “Why knowledge matters”</w:t>
            </w:r>
          </w:p>
          <w:p w:rsidR="00000000" w:rsidDel="00000000" w:rsidP="00000000" w:rsidRDefault="00000000" w:rsidRPr="00000000" w14:paraId="00000014">
            <w:pPr>
              <w:spacing w:line="240" w:lineRule="auto"/>
              <w:rPr>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5">
            <w:pPr>
              <w:rPr/>
            </w:pPr>
            <w:r w:rsidDel="00000000" w:rsidR="00000000" w:rsidRPr="00000000">
              <w:rPr>
                <w:rtl w:val="0"/>
              </w:rPr>
              <w:t xml:space="preserve">All high-level performance is underpinned by vast, well-organised stores of domain knowledge. Skills grow out of this knowledge rather than replacing it.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6">
            <w:pPr>
              <w:numPr>
                <w:ilvl w:val="0"/>
                <w:numId w:val="1"/>
              </w:numPr>
              <w:spacing w:line="240" w:lineRule="auto"/>
              <w:ind w:left="360" w:hanging="360"/>
              <w:rPr>
                <w:u w:val="none"/>
              </w:rPr>
            </w:pPr>
            <w:r w:rsidDel="00000000" w:rsidR="00000000" w:rsidRPr="00000000">
              <w:rPr>
                <w:rtl w:val="0"/>
              </w:rPr>
              <w:t xml:space="preserve">Biologically primary vs secondary knowledge</w:t>
            </w:r>
          </w:p>
          <w:p w:rsidR="00000000" w:rsidDel="00000000" w:rsidP="00000000" w:rsidRDefault="00000000" w:rsidRPr="00000000" w14:paraId="00000017">
            <w:pPr>
              <w:numPr>
                <w:ilvl w:val="0"/>
                <w:numId w:val="1"/>
              </w:numPr>
              <w:spacing w:line="240" w:lineRule="auto"/>
              <w:ind w:left="360" w:hanging="360"/>
              <w:rPr>
                <w:u w:val="none"/>
              </w:rPr>
            </w:pPr>
            <w:r w:rsidDel="00000000" w:rsidR="00000000" w:rsidRPr="00000000">
              <w:rPr>
                <w:rtl w:val="0"/>
              </w:rPr>
              <w:t xml:space="preserve">Working-memory bottleneck &amp; cognitive load</w:t>
            </w:r>
          </w:p>
          <w:p w:rsidR="00000000" w:rsidDel="00000000" w:rsidP="00000000" w:rsidRDefault="00000000" w:rsidRPr="00000000" w14:paraId="00000018">
            <w:pPr>
              <w:numPr>
                <w:ilvl w:val="0"/>
                <w:numId w:val="1"/>
              </w:numPr>
              <w:spacing w:line="240" w:lineRule="auto"/>
              <w:ind w:left="360" w:hanging="360"/>
              <w:rPr>
                <w:u w:val="none"/>
              </w:rPr>
            </w:pPr>
            <w:r w:rsidDel="00000000" w:rsidR="00000000" w:rsidRPr="00000000">
              <w:rPr>
                <w:rtl w:val="0"/>
              </w:rPr>
              <w:t xml:space="preserve">Borrowing &amp; re-organising principle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9">
            <w:pPr>
              <w:numPr>
                <w:ilvl w:val="0"/>
                <w:numId w:val="8"/>
              </w:numPr>
              <w:spacing w:line="240" w:lineRule="auto"/>
              <w:ind w:left="360" w:hanging="360"/>
              <w:rPr>
                <w:u w:val="none"/>
              </w:rPr>
            </w:pPr>
            <w:r w:rsidDel="00000000" w:rsidR="00000000" w:rsidRPr="00000000">
              <w:rPr>
                <w:rtl w:val="0"/>
              </w:rPr>
              <w:t xml:space="preserve">Chess grandmasters playing simultaneous games</w:t>
            </w:r>
          </w:p>
          <w:p w:rsidR="00000000" w:rsidDel="00000000" w:rsidP="00000000" w:rsidRDefault="00000000" w:rsidRPr="00000000" w14:paraId="0000001A">
            <w:pPr>
              <w:numPr>
                <w:ilvl w:val="0"/>
                <w:numId w:val="8"/>
              </w:numPr>
              <w:spacing w:line="240" w:lineRule="auto"/>
              <w:ind w:left="360" w:hanging="360"/>
              <w:rPr>
                <w:u w:val="none"/>
              </w:rPr>
            </w:pPr>
            <w:r w:rsidDel="00000000" w:rsidR="00000000" w:rsidRPr="00000000">
              <w:rPr>
                <w:rtl w:val="0"/>
              </w:rPr>
              <w:t xml:space="preserve">Radiographers spotting tumours novices miss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B">
            <w:pPr>
              <w:spacing w:line="240" w:lineRule="auto"/>
              <w:rPr>
                <w:b w:val="1"/>
                <w:bCs w:val="1"/>
              </w:rPr>
            </w:pPr>
            <w:r w:rsidDel="00000000" w:rsidR="00000000" w:rsidRPr="00000000">
              <w:rPr>
                <w:b w:val="1"/>
                <w:bCs w:val="1"/>
                <w:rtl w:val="0"/>
              </w:rPr>
              <w:t xml:space="preserve">2 – “How memory works”</w:t>
            </w:r>
          </w:p>
          <w:p w:rsidR="00000000" w:rsidDel="00000000" w:rsidP="00000000" w:rsidRDefault="00000000" w:rsidRPr="00000000" w14:paraId="0000001C">
            <w:pPr>
              <w:spacing w:line="240" w:lineRule="auto"/>
              <w:rPr>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D">
            <w:pPr>
              <w:rPr/>
            </w:pPr>
            <w:r w:rsidDel="00000000" w:rsidR="00000000" w:rsidRPr="00000000">
              <w:rPr>
                <w:rtl w:val="0"/>
              </w:rPr>
              <w:t xml:space="preserve">Long-term learning depends on strengthening storage and retrieval. Successful, effortful recall beats re-reading every time.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E">
            <w:pPr>
              <w:numPr>
                <w:ilvl w:val="0"/>
                <w:numId w:val="6"/>
              </w:numPr>
              <w:spacing w:line="240" w:lineRule="auto"/>
              <w:ind w:left="360" w:hanging="360"/>
              <w:rPr>
                <w:u w:val="none"/>
              </w:rPr>
            </w:pPr>
            <w:r w:rsidDel="00000000" w:rsidR="00000000" w:rsidRPr="00000000">
              <w:rPr>
                <w:rtl w:val="0"/>
              </w:rPr>
              <w:t xml:space="preserve">Storage strength vs retrieval strength</w:t>
            </w:r>
          </w:p>
          <w:p w:rsidR="00000000" w:rsidDel="00000000" w:rsidP="00000000" w:rsidRDefault="00000000" w:rsidRPr="00000000" w14:paraId="0000001F">
            <w:pPr>
              <w:numPr>
                <w:ilvl w:val="0"/>
                <w:numId w:val="6"/>
              </w:numPr>
              <w:spacing w:line="240" w:lineRule="auto"/>
              <w:ind w:left="360" w:hanging="360"/>
              <w:rPr>
                <w:u w:val="none"/>
              </w:rPr>
            </w:pPr>
            <w:r w:rsidDel="00000000" w:rsidR="00000000" w:rsidRPr="00000000">
              <w:rPr>
                <w:rtl w:val="0"/>
              </w:rPr>
              <w:t xml:space="preserve">Spaced practice, interleaving, practice testing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20">
            <w:pPr>
              <w:numPr>
                <w:ilvl w:val="0"/>
                <w:numId w:val="5"/>
              </w:numPr>
              <w:spacing w:line="240" w:lineRule="auto"/>
              <w:ind w:left="360" w:hanging="360"/>
              <w:rPr>
                <w:u w:val="none"/>
              </w:rPr>
            </w:pPr>
            <w:r w:rsidDel="00000000" w:rsidR="00000000" w:rsidRPr="00000000">
              <w:rPr>
                <w:rtl w:val="0"/>
              </w:rPr>
              <w:t xml:space="preserve">Remembering the word for “ear” in a language formerly studied</w:t>
            </w:r>
          </w:p>
          <w:p w:rsidR="00000000" w:rsidDel="00000000" w:rsidP="00000000" w:rsidRDefault="00000000" w:rsidRPr="00000000" w14:paraId="00000021">
            <w:pPr>
              <w:numPr>
                <w:ilvl w:val="0"/>
                <w:numId w:val="5"/>
              </w:numPr>
              <w:spacing w:line="240" w:lineRule="auto"/>
              <w:ind w:left="360" w:hanging="360"/>
              <w:rPr>
                <w:u w:val="none"/>
              </w:rPr>
            </w:pPr>
            <w:r w:rsidDel="00000000" w:rsidR="00000000" w:rsidRPr="00000000">
              <w:rPr>
                <w:rtl w:val="0"/>
              </w:rPr>
              <w:t xml:space="preserve">Flash-card self-quizzing versus highlighting</w:t>
            </w:r>
          </w:p>
        </w:tc>
      </w:tr>
    </w:tbl>
    <w:p w:rsidR="00000000" w:rsidDel="00000000" w:rsidP="00000000" w:rsidRDefault="00000000" w:rsidRPr="00000000" w14:paraId="00000022">
      <w:pPr>
        <w:pStyle w:val="Heading2"/>
        <w:rPr>
          <w:b w:val="1"/>
          <w:bCs w:val="1"/>
        </w:rPr>
      </w:pPr>
      <w:bookmarkStart w:colFirst="0" w:colLast="0" w:name="_zo6pndivglt" w:id="3"/>
      <w:bookmarkEnd w:id="3"/>
      <w:r w:rsidDel="00000000" w:rsidR="00000000" w:rsidRPr="00000000">
        <w:rPr>
          <w:b w:val="1"/>
          <w:bCs w:val="1"/>
          <w:rtl w:val="0"/>
        </w:rPr>
        <w:t xml:space="preserve">Glossary</w:t>
      </w:r>
    </w:p>
    <w:p w:rsidR="00000000" w:rsidDel="00000000" w:rsidP="00000000" w:rsidRDefault="00000000" w:rsidRPr="00000000" w14:paraId="00000023">
      <w:pPr>
        <w:numPr>
          <w:ilvl w:val="0"/>
          <w:numId w:val="2"/>
        </w:numPr>
        <w:spacing w:after="200" w:lineRule="auto"/>
        <w:ind w:left="720" w:hanging="360"/>
      </w:pPr>
      <w:r w:rsidDel="00000000" w:rsidR="00000000" w:rsidRPr="00000000">
        <w:rPr>
          <w:b w:val="1"/>
          <w:bCs w:val="1"/>
          <w:rtl w:val="0"/>
        </w:rPr>
        <w:t xml:space="preserve">Biologically primary knowledge </w:t>
      </w:r>
      <w:r w:rsidDel="00000000" w:rsidR="00000000" w:rsidRPr="00000000">
        <w:rPr>
          <w:rtl w:val="0"/>
        </w:rPr>
        <w:t xml:space="preserve">– Abilities humans evolved to pick up naturally (e.g., spoken language).</w:t>
      </w:r>
    </w:p>
    <w:p w:rsidR="00000000" w:rsidDel="00000000" w:rsidP="00000000" w:rsidRDefault="00000000" w:rsidRPr="00000000" w14:paraId="00000024">
      <w:pPr>
        <w:numPr>
          <w:ilvl w:val="0"/>
          <w:numId w:val="2"/>
        </w:numPr>
        <w:spacing w:after="200" w:lineRule="auto"/>
        <w:ind w:left="720" w:hanging="360"/>
      </w:pPr>
      <w:r w:rsidDel="00000000" w:rsidR="00000000" w:rsidRPr="00000000">
        <w:rPr>
          <w:b w:val="1"/>
          <w:bCs w:val="1"/>
          <w:rtl w:val="0"/>
        </w:rPr>
        <w:t xml:space="preserve">Biologically secondary knowledge </w:t>
      </w:r>
      <w:r w:rsidDel="00000000" w:rsidR="00000000" w:rsidRPr="00000000">
        <w:rPr>
          <w:rtl w:val="0"/>
        </w:rPr>
        <w:t xml:space="preserve">– Culturally invented skills such as reading or algebra that require explicit teaching.</w:t>
      </w:r>
    </w:p>
    <w:p w:rsidR="00000000" w:rsidDel="00000000" w:rsidP="00000000" w:rsidRDefault="00000000" w:rsidRPr="00000000" w14:paraId="00000025">
      <w:pPr>
        <w:numPr>
          <w:ilvl w:val="0"/>
          <w:numId w:val="2"/>
        </w:numPr>
        <w:spacing w:after="200" w:lineRule="auto"/>
        <w:ind w:left="720" w:hanging="360"/>
      </w:pPr>
      <w:r w:rsidDel="00000000" w:rsidR="00000000" w:rsidRPr="00000000">
        <w:rPr>
          <w:b w:val="1"/>
          <w:bCs w:val="1"/>
          <w:rtl w:val="0"/>
        </w:rPr>
        <w:t xml:space="preserve">Working memory</w:t>
      </w:r>
      <w:r w:rsidDel="00000000" w:rsidR="00000000" w:rsidRPr="00000000">
        <w:rPr>
          <w:rtl w:val="0"/>
        </w:rPr>
        <w:t xml:space="preserve"> – Limited-capacity “mental workspace” used for conscious processing.</w:t>
      </w:r>
    </w:p>
    <w:p w:rsidR="00000000" w:rsidDel="00000000" w:rsidP="00000000" w:rsidRDefault="00000000" w:rsidRPr="00000000" w14:paraId="00000026">
      <w:pPr>
        <w:numPr>
          <w:ilvl w:val="0"/>
          <w:numId w:val="2"/>
        </w:numPr>
        <w:spacing w:after="200" w:lineRule="auto"/>
        <w:ind w:left="720" w:hanging="360"/>
      </w:pPr>
      <w:r w:rsidDel="00000000" w:rsidR="00000000" w:rsidRPr="00000000">
        <w:rPr>
          <w:b w:val="1"/>
          <w:bCs w:val="1"/>
          <w:rtl w:val="0"/>
        </w:rPr>
        <w:t xml:space="preserve">Long-term memory</w:t>
      </w:r>
      <w:r w:rsidDel="00000000" w:rsidR="00000000" w:rsidRPr="00000000">
        <w:rPr>
          <w:rtl w:val="0"/>
        </w:rPr>
        <w:t xml:space="preserve"> – Practically limitless store of facts, experiences and procedures.</w:t>
      </w:r>
    </w:p>
    <w:p w:rsidR="00000000" w:rsidDel="00000000" w:rsidP="00000000" w:rsidRDefault="00000000" w:rsidRPr="00000000" w14:paraId="00000027">
      <w:pPr>
        <w:numPr>
          <w:ilvl w:val="0"/>
          <w:numId w:val="2"/>
        </w:numPr>
        <w:spacing w:after="200" w:lineRule="auto"/>
        <w:ind w:left="720" w:hanging="360"/>
      </w:pPr>
      <w:r w:rsidDel="00000000" w:rsidR="00000000" w:rsidRPr="00000000">
        <w:rPr>
          <w:b w:val="1"/>
          <w:bCs w:val="1"/>
          <w:rtl w:val="0"/>
        </w:rPr>
        <w:t xml:space="preserve">Cognitive load </w:t>
      </w:r>
      <w:r w:rsidDel="00000000" w:rsidR="00000000" w:rsidRPr="00000000">
        <w:rPr>
          <w:rtl w:val="0"/>
        </w:rPr>
        <w:t xml:space="preserve">– Total mental effort being used in working memory.</w:t>
      </w:r>
    </w:p>
    <w:p w:rsidR="00000000" w:rsidDel="00000000" w:rsidP="00000000" w:rsidRDefault="00000000" w:rsidRPr="00000000" w14:paraId="00000028">
      <w:pPr>
        <w:numPr>
          <w:ilvl w:val="0"/>
          <w:numId w:val="2"/>
        </w:numPr>
        <w:spacing w:after="200" w:lineRule="auto"/>
        <w:ind w:left="720" w:hanging="360"/>
      </w:pPr>
      <w:r w:rsidDel="00000000" w:rsidR="00000000" w:rsidRPr="00000000">
        <w:rPr>
          <w:b w:val="1"/>
          <w:bCs w:val="1"/>
          <w:rtl w:val="0"/>
        </w:rPr>
        <w:t xml:space="preserve">Storage strength </w:t>
      </w:r>
      <w:r w:rsidDel="00000000" w:rsidR="00000000" w:rsidRPr="00000000">
        <w:rPr>
          <w:rtl w:val="0"/>
        </w:rPr>
        <w:t xml:space="preserve">– How deeply information is encoded and interconnected.</w:t>
      </w:r>
    </w:p>
    <w:p w:rsidR="00000000" w:rsidDel="00000000" w:rsidP="00000000" w:rsidRDefault="00000000" w:rsidRPr="00000000" w14:paraId="00000029">
      <w:pPr>
        <w:numPr>
          <w:ilvl w:val="0"/>
          <w:numId w:val="2"/>
        </w:numPr>
        <w:spacing w:after="200" w:lineRule="auto"/>
        <w:ind w:left="720" w:hanging="360"/>
      </w:pPr>
      <w:r w:rsidDel="00000000" w:rsidR="00000000" w:rsidRPr="00000000">
        <w:rPr>
          <w:b w:val="1"/>
          <w:bCs w:val="1"/>
          <w:rtl w:val="0"/>
        </w:rPr>
        <w:t xml:space="preserve">Retrieval strength</w:t>
      </w:r>
      <w:r w:rsidDel="00000000" w:rsidR="00000000" w:rsidRPr="00000000">
        <w:rPr>
          <w:rtl w:val="0"/>
        </w:rPr>
        <w:t xml:space="preserve"> – How easily information can be accessed at a given moment.</w:t>
      </w:r>
    </w:p>
    <w:p w:rsidR="00000000" w:rsidDel="00000000" w:rsidP="00000000" w:rsidRDefault="00000000" w:rsidRPr="00000000" w14:paraId="0000002A">
      <w:pPr>
        <w:numPr>
          <w:ilvl w:val="0"/>
          <w:numId w:val="2"/>
        </w:numPr>
        <w:spacing w:after="200" w:lineRule="auto"/>
        <w:ind w:left="720" w:hanging="360"/>
      </w:pPr>
      <w:r w:rsidDel="00000000" w:rsidR="00000000" w:rsidRPr="00000000">
        <w:rPr>
          <w:b w:val="1"/>
          <w:bCs w:val="1"/>
          <w:rtl w:val="0"/>
        </w:rPr>
        <w:t xml:space="preserve">Interleaving </w:t>
      </w:r>
      <w:r w:rsidDel="00000000" w:rsidR="00000000" w:rsidRPr="00000000">
        <w:rPr>
          <w:rtl w:val="0"/>
        </w:rPr>
        <w:t xml:space="preserve">– Mixing topics or problem types within a single practice session.</w:t>
      </w:r>
    </w:p>
    <w:p w:rsidR="00000000" w:rsidDel="00000000" w:rsidP="00000000" w:rsidRDefault="00000000" w:rsidRPr="00000000" w14:paraId="0000002B">
      <w:pPr>
        <w:numPr>
          <w:ilvl w:val="0"/>
          <w:numId w:val="2"/>
        </w:numPr>
        <w:spacing w:after="200" w:lineRule="auto"/>
        <w:ind w:left="720" w:hanging="360"/>
      </w:pPr>
      <w:r w:rsidDel="00000000" w:rsidR="00000000" w:rsidRPr="00000000">
        <w:rPr>
          <w:b w:val="1"/>
          <w:bCs w:val="1"/>
          <w:rtl w:val="0"/>
        </w:rPr>
        <w:t xml:space="preserve">Spaced practice </w:t>
      </w:r>
      <w:r w:rsidDel="00000000" w:rsidR="00000000" w:rsidRPr="00000000">
        <w:rPr>
          <w:rtl w:val="0"/>
        </w:rPr>
        <w:t xml:space="preserve">– Spreading study or review sessions over time.</w:t>
      </w:r>
    </w:p>
    <w:p w:rsidR="00000000" w:rsidDel="00000000" w:rsidP="00000000" w:rsidRDefault="00000000" w:rsidRPr="00000000" w14:paraId="0000002C">
      <w:pPr>
        <w:numPr>
          <w:ilvl w:val="0"/>
          <w:numId w:val="2"/>
        </w:numPr>
        <w:spacing w:after="200" w:lineRule="auto"/>
        <w:ind w:left="720" w:hanging="360"/>
      </w:pPr>
      <w:r w:rsidDel="00000000" w:rsidR="00000000" w:rsidRPr="00000000">
        <w:rPr>
          <w:b w:val="1"/>
          <w:bCs w:val="1"/>
          <w:rtl w:val="0"/>
        </w:rPr>
        <w:t xml:space="preserve">Practice testing</w:t>
      </w:r>
      <w:r w:rsidDel="00000000" w:rsidR="00000000" w:rsidRPr="00000000">
        <w:rPr>
          <w:rtl w:val="0"/>
        </w:rPr>
        <w:t xml:space="preserve"> – Actively recalling information (self-quizzes, flash cards, low-stakes tests).</w:t>
      </w:r>
      <w:r w:rsidDel="00000000" w:rsidR="00000000" w:rsidRPr="00000000">
        <w:rPr>
          <w:rtl w:val="0"/>
        </w:rPr>
      </w:r>
    </w:p>
    <w:p w:rsidR="00000000" w:rsidDel="00000000" w:rsidP="00000000" w:rsidRDefault="00000000" w:rsidRPr="00000000" w14:paraId="0000002D">
      <w:pPr>
        <w:pStyle w:val="Heading2"/>
        <w:rPr>
          <w:rFonts w:ascii="Arial" w:cs="Arial" w:eastAsia="Arial" w:hAnsi="Arial"/>
          <w:b w:val="1"/>
          <w:bCs w:val="1"/>
          <w:color w:val="434343"/>
        </w:rPr>
      </w:pPr>
      <w:bookmarkStart w:colFirst="0" w:colLast="0" w:name="_ch1gyr529njt" w:id="2"/>
      <w:bookmarkEnd w:id="2"/>
      <w:r w:rsidDel="00000000" w:rsidR="00000000" w:rsidRPr="00000000">
        <w:rPr>
          <w:b w:val="1"/>
          <w:bCs w:val="1"/>
          <w:rtl w:val="0"/>
        </w:rPr>
        <w:t xml:space="preserve">Takeaways and teacher moves</w:t>
      </w:r>
      <w:r w:rsidDel="00000000" w:rsidR="00000000" w:rsidRPr="00000000">
        <w:rPr>
          <w:rtl w:val="0"/>
        </w:rPr>
      </w:r>
    </w:p>
    <w:tbl>
      <w:tblPr>
        <w:tblStyle w:val="Table2"/>
        <w:tblW w:w="10065.599999999999" w:type="dxa"/>
        <w:jc w:val="left"/>
        <w:tblInd w:w="-115.0" w:type="dxa"/>
        <w:tblLayout w:type="fixed"/>
        <w:tblLook w:val="0400"/>
      </w:tblPr>
      <w:tblGrid>
        <w:gridCol w:w="3355.2"/>
        <w:gridCol w:w="3355.2"/>
        <w:gridCol w:w="3355.2"/>
        <w:tblGridChange w:id="0">
          <w:tblGrid>
            <w:gridCol w:w="3355.2"/>
            <w:gridCol w:w="3355.2"/>
            <w:gridCol w:w="3355.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2E">
            <w:pPr>
              <w:rPr>
                <w:b w:val="1"/>
                <w:bCs w:val="1"/>
                <w:color w:val="ffffff"/>
              </w:rPr>
            </w:pPr>
            <w:r w:rsidDel="00000000" w:rsidR="00000000" w:rsidRPr="00000000">
              <w:rPr>
                <w:b w:val="1"/>
                <w:bCs w:val="1"/>
                <w:color w:val="ffffff"/>
                <w:rtl w:val="0"/>
              </w:rPr>
              <w:t xml:space="preserve">Principle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2F">
            <w:pPr>
              <w:rPr>
                <w:b w:val="1"/>
                <w:bCs w:val="1"/>
                <w:color w:val="ffffff"/>
              </w:rPr>
            </w:pPr>
            <w:r w:rsidDel="00000000" w:rsidR="00000000" w:rsidRPr="00000000">
              <w:rPr>
                <w:b w:val="1"/>
                <w:bCs w:val="1"/>
                <w:color w:val="ffffff"/>
                <w:rtl w:val="0"/>
              </w:rPr>
              <w:t xml:space="preserve">Why it matters</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30">
            <w:pPr>
              <w:rPr>
                <w:b w:val="1"/>
                <w:bCs w:val="1"/>
                <w:color w:val="ffffff"/>
              </w:rPr>
            </w:pPr>
            <w:r w:rsidDel="00000000" w:rsidR="00000000" w:rsidRPr="00000000">
              <w:rPr>
                <w:b w:val="1"/>
                <w:bCs w:val="1"/>
                <w:color w:val="ffffff"/>
                <w:rtl w:val="0"/>
              </w:rPr>
              <w:t xml:space="preserve">Classroom moves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1">
            <w:pPr>
              <w:spacing w:line="240" w:lineRule="auto"/>
              <w:rPr>
                <w:b w:val="1"/>
                <w:bCs w:val="1"/>
              </w:rPr>
            </w:pPr>
            <w:r w:rsidDel="00000000" w:rsidR="00000000" w:rsidRPr="00000000">
              <w:rPr>
                <w:b w:val="1"/>
                <w:bCs w:val="1"/>
                <w:rtl w:val="0"/>
              </w:rPr>
              <w:t xml:space="preserve">Build background knowledge first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2">
            <w:pPr>
              <w:spacing w:line="240" w:lineRule="auto"/>
              <w:rPr/>
            </w:pPr>
            <w:r w:rsidDel="00000000" w:rsidR="00000000" w:rsidRPr="00000000">
              <w:rPr>
                <w:rtl w:val="0"/>
              </w:rPr>
              <w:t xml:space="preserve">Transferring facts to long-term memory frees up working memory for higher-order thinking.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Embed micro-explainer segments before open-ended tasks; pre-teach essential vocabulary.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4">
            <w:pPr>
              <w:spacing w:line="240" w:lineRule="auto"/>
              <w:rPr>
                <w:b w:val="1"/>
                <w:bCs w:val="1"/>
              </w:rPr>
            </w:pPr>
            <w:r w:rsidDel="00000000" w:rsidR="00000000" w:rsidRPr="00000000">
              <w:rPr>
                <w:b w:val="1"/>
                <w:bCs w:val="1"/>
                <w:rtl w:val="0"/>
              </w:rPr>
              <w:t xml:space="preserve">Manage cognitive load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5">
            <w:pPr>
              <w:spacing w:line="240" w:lineRule="auto"/>
              <w:rPr/>
            </w:pPr>
            <w:r w:rsidDel="00000000" w:rsidR="00000000" w:rsidRPr="00000000">
              <w:rPr>
                <w:rtl w:val="0"/>
              </w:rPr>
              <w:t xml:space="preserve">Overloading working memory stalls learning because spare working memory is needed to store things in long-term memory</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6">
            <w:pPr>
              <w:spacing w:line="240" w:lineRule="auto"/>
              <w:rPr/>
            </w:pPr>
            <w:r w:rsidDel="00000000" w:rsidR="00000000" w:rsidRPr="00000000">
              <w:rPr>
                <w:rtl w:val="0"/>
              </w:rPr>
              <w:t xml:space="preserve">Use worked examples, fade guidance gradually, avoid split-attention layouts.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7">
            <w:pPr>
              <w:spacing w:line="240" w:lineRule="auto"/>
              <w:rPr>
                <w:b w:val="1"/>
                <w:bCs w:val="1"/>
              </w:rPr>
            </w:pPr>
            <w:r w:rsidDel="00000000" w:rsidR="00000000" w:rsidRPr="00000000">
              <w:rPr>
                <w:b w:val="1"/>
                <w:bCs w:val="1"/>
                <w:rtl w:val="0"/>
              </w:rPr>
              <w:t xml:space="preserve">Teach for durable, not temporary,</w:t>
            </w:r>
          </w:p>
          <w:p w:rsidR="00000000" w:rsidDel="00000000" w:rsidP="00000000" w:rsidRDefault="00000000" w:rsidRPr="00000000" w14:paraId="00000038">
            <w:pPr>
              <w:spacing w:line="240" w:lineRule="auto"/>
              <w:rPr>
                <w:b w:val="1"/>
                <w:bCs w:val="1"/>
              </w:rPr>
            </w:pPr>
            <w:r w:rsidDel="00000000" w:rsidR="00000000" w:rsidRPr="00000000">
              <w:rPr>
                <w:b w:val="1"/>
                <w:bCs w:val="1"/>
                <w:rtl w:val="0"/>
              </w:rPr>
              <w:t xml:space="preserve">retrieval</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High retrieval strength today can mask limited storage strength .</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A">
            <w:pPr>
              <w:spacing w:line="240" w:lineRule="auto"/>
              <w:rPr/>
            </w:pPr>
            <w:r w:rsidDel="00000000" w:rsidR="00000000" w:rsidRPr="00000000">
              <w:rPr>
                <w:rtl w:val="0"/>
              </w:rPr>
              <w:t xml:space="preserve">Replace last-minute cram sheets with low-stakes quizzes spaced across days or weeks.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B">
            <w:pPr>
              <w:spacing w:line="240" w:lineRule="auto"/>
              <w:rPr>
                <w:b w:val="1"/>
                <w:bCs w:val="1"/>
              </w:rPr>
            </w:pPr>
            <w:r w:rsidDel="00000000" w:rsidR="00000000" w:rsidRPr="00000000">
              <w:rPr>
                <w:b w:val="1"/>
                <w:bCs w:val="1"/>
                <w:rtl w:val="0"/>
              </w:rPr>
              <w:t xml:space="preserve">Make retrieval effortful, but achievable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C">
            <w:pPr>
              <w:spacing w:line="240" w:lineRule="auto"/>
              <w:rPr/>
            </w:pPr>
            <w:r w:rsidDel="00000000" w:rsidR="00000000" w:rsidRPr="00000000">
              <w:rPr>
                <w:rtl w:val="0"/>
              </w:rPr>
              <w:t xml:space="preserve">Hard-won recall produces the biggest learning gains (“desirable difficulty”).</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Convert notes to questions; schedule “brain-drain” quizzes as forgetting sets in.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E">
            <w:pPr>
              <w:spacing w:line="240" w:lineRule="auto"/>
              <w:rPr>
                <w:b w:val="1"/>
                <w:bCs w:val="1"/>
              </w:rPr>
            </w:pPr>
            <w:r w:rsidDel="00000000" w:rsidR="00000000" w:rsidRPr="00000000">
              <w:rPr>
                <w:b w:val="1"/>
                <w:bCs w:val="1"/>
                <w:rtl w:val="0"/>
              </w:rPr>
              <w:t xml:space="preserve">Mix, don’t block</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3F">
            <w:pPr>
              <w:spacing w:line="240" w:lineRule="auto"/>
              <w:rPr/>
            </w:pPr>
            <w:r w:rsidDel="00000000" w:rsidR="00000000" w:rsidRPr="00000000">
              <w:rPr>
                <w:rtl w:val="0"/>
              </w:rPr>
              <w:t xml:space="preserve">Interleaving fosters discrimination between similar concepts.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40">
            <w:pPr>
              <w:spacing w:line="240" w:lineRule="auto"/>
              <w:rPr/>
            </w:pPr>
            <w:r w:rsidDel="00000000" w:rsidR="00000000" w:rsidRPr="00000000">
              <w:rPr>
                <w:rtl w:val="0"/>
              </w:rPr>
              <w:t xml:space="preserve">Write mixed-topic problem sets (e.g., perimeter and area) rather than unitary drills.</w:t>
            </w:r>
          </w:p>
        </w:tc>
      </w:tr>
    </w:tbl>
    <w:p w:rsidR="00000000" w:rsidDel="00000000" w:rsidP="00000000" w:rsidRDefault="00000000" w:rsidRPr="00000000" w14:paraId="00000041">
      <w:pPr>
        <w:pStyle w:val="Heading2"/>
        <w:rPr>
          <w:b w:val="1"/>
          <w:bCs w:val="1"/>
        </w:rPr>
      </w:pPr>
      <w:bookmarkStart w:colFirst="0" w:colLast="0" w:name="_1blgwyqo69n6" w:id="4"/>
      <w:bookmarkEnd w:id="4"/>
      <w:r w:rsidDel="00000000" w:rsidR="00000000" w:rsidRPr="00000000">
        <w:rPr>
          <w:b w:val="1"/>
          <w:bCs w:val="1"/>
          <w:rtl w:val="0"/>
        </w:rPr>
        <w:t xml:space="preserve">Discussion questions</w:t>
      </w:r>
    </w:p>
    <w:p w:rsidR="00000000" w:rsidDel="00000000" w:rsidP="00000000" w:rsidRDefault="00000000" w:rsidRPr="00000000" w14:paraId="00000042">
      <w:pPr>
        <w:numPr>
          <w:ilvl w:val="0"/>
          <w:numId w:val="4"/>
        </w:numPr>
        <w:spacing w:after="200" w:lineRule="auto"/>
        <w:ind w:left="720" w:hanging="360"/>
      </w:pPr>
      <w:r w:rsidDel="00000000" w:rsidR="00000000" w:rsidRPr="00000000">
        <w:rPr>
          <w:rtl w:val="0"/>
        </w:rPr>
        <w:t xml:space="preserve">Explain, in your own words, why knowledge makes thinking “cheaper” in working memory.</w:t>
      </w:r>
    </w:p>
    <w:p w:rsidR="00000000" w:rsidDel="00000000" w:rsidP="00000000" w:rsidRDefault="00000000" w:rsidRPr="00000000" w14:paraId="00000043">
      <w:pPr>
        <w:numPr>
          <w:ilvl w:val="0"/>
          <w:numId w:val="4"/>
        </w:numPr>
        <w:spacing w:after="200" w:lineRule="auto"/>
        <w:ind w:left="720" w:hanging="360"/>
      </w:pPr>
      <w:r w:rsidDel="00000000" w:rsidR="00000000" w:rsidRPr="00000000">
        <w:rPr>
          <w:rtl w:val="0"/>
        </w:rPr>
        <w:t xml:space="preserve">How does Sweller’s digit-span task (discussed in Episode 1) illustrate the effects of prior knowledge on apparent memory limits?</w:t>
      </w:r>
    </w:p>
    <w:p w:rsidR="00000000" w:rsidDel="00000000" w:rsidP="00000000" w:rsidRDefault="00000000" w:rsidRPr="00000000" w14:paraId="00000044">
      <w:pPr>
        <w:numPr>
          <w:ilvl w:val="0"/>
          <w:numId w:val="4"/>
        </w:numPr>
        <w:spacing w:after="200" w:lineRule="auto"/>
        <w:ind w:left="720" w:hanging="360"/>
      </w:pPr>
      <w:r w:rsidDel="00000000" w:rsidR="00000000" w:rsidRPr="00000000">
        <w:rPr>
          <w:rtl w:val="0"/>
        </w:rPr>
        <w:t xml:space="preserve">What are the key differences between storage strength and retrieval strength?</w:t>
      </w:r>
    </w:p>
    <w:p w:rsidR="00000000" w:rsidDel="00000000" w:rsidP="00000000" w:rsidRDefault="00000000" w:rsidRPr="00000000" w14:paraId="00000045">
      <w:pPr>
        <w:numPr>
          <w:ilvl w:val="0"/>
          <w:numId w:val="4"/>
        </w:numPr>
        <w:spacing w:after="200" w:lineRule="auto"/>
        <w:ind w:left="720" w:hanging="360"/>
      </w:pPr>
      <w:r w:rsidDel="00000000" w:rsidR="00000000" w:rsidRPr="00000000">
        <w:rPr>
          <w:rtl w:val="0"/>
        </w:rPr>
        <w:t xml:space="preserve">Echoing E.D. Hirsch, Jr., Wiliam suggests that “skill is really knowledge.” Do you agree? If yes, give concrete examples from your own discipline. If no, say why not.</w:t>
      </w:r>
    </w:p>
    <w:p w:rsidR="00000000" w:rsidDel="00000000" w:rsidP="00000000" w:rsidRDefault="00000000" w:rsidRPr="00000000" w14:paraId="00000046">
      <w:pPr>
        <w:numPr>
          <w:ilvl w:val="0"/>
          <w:numId w:val="4"/>
        </w:numPr>
        <w:spacing w:after="200" w:lineRule="auto"/>
        <w:ind w:left="720" w:hanging="360"/>
      </w:pPr>
      <w:r w:rsidDel="00000000" w:rsidR="00000000" w:rsidRPr="00000000">
        <w:rPr>
          <w:rtl w:val="0"/>
        </w:rPr>
        <w:t xml:space="preserve">Where in your curriculum might students’ working memory become overloaded? How could you redesign those moments?</w:t>
      </w:r>
    </w:p>
    <w:p w:rsidR="00000000" w:rsidDel="00000000" w:rsidP="00000000" w:rsidRDefault="00000000" w:rsidRPr="00000000" w14:paraId="00000047">
      <w:pPr>
        <w:numPr>
          <w:ilvl w:val="0"/>
          <w:numId w:val="4"/>
        </w:numPr>
        <w:spacing w:after="200" w:lineRule="auto"/>
        <w:ind w:left="720" w:hanging="360"/>
      </w:pPr>
      <w:r w:rsidDel="00000000" w:rsidR="00000000" w:rsidRPr="00000000">
        <w:rPr>
          <w:rtl w:val="0"/>
        </w:rPr>
        <w:t xml:space="preserve">How would you design a mini-lesson that combines worked examples and a retrieval opportunity?</w:t>
      </w:r>
    </w:p>
    <w:p w:rsidR="00000000" w:rsidDel="00000000" w:rsidP="00000000" w:rsidRDefault="00000000" w:rsidRPr="00000000" w14:paraId="00000048">
      <w:pPr>
        <w:numPr>
          <w:ilvl w:val="0"/>
          <w:numId w:val="4"/>
        </w:numPr>
        <w:spacing w:after="200" w:lineRule="auto"/>
        <w:ind w:left="720" w:hanging="360"/>
      </w:pPr>
      <w:r w:rsidDel="00000000" w:rsidR="00000000" w:rsidRPr="00000000">
        <w:rPr>
          <w:rtl w:val="0"/>
        </w:rPr>
        <w:t xml:space="preserve">Spaced practice can feel slower and less comfortable than massed practice. How could you sell its value to students (or colleagues)?</w:t>
      </w:r>
    </w:p>
    <w:p w:rsidR="00000000" w:rsidDel="00000000" w:rsidP="00000000" w:rsidRDefault="00000000" w:rsidRPr="00000000" w14:paraId="00000049">
      <w:pPr>
        <w:numPr>
          <w:ilvl w:val="0"/>
          <w:numId w:val="4"/>
        </w:numPr>
        <w:spacing w:after="200" w:lineRule="auto"/>
        <w:ind w:left="720" w:hanging="360"/>
      </w:pPr>
      <w:r w:rsidDel="00000000" w:rsidR="00000000" w:rsidRPr="00000000">
        <w:rPr>
          <w:rtl w:val="0"/>
        </w:rPr>
        <w:t xml:space="preserve">Think of a topic students “knew yesterday but forgot today.” How might storage and retrieval strength explain this, and what would you change next time?</w:t>
      </w:r>
      <w:r w:rsidDel="00000000" w:rsidR="00000000" w:rsidRPr="00000000">
        <w:rPr>
          <w:rtl w:val="0"/>
        </w:rPr>
      </w:r>
    </w:p>
    <w:p w:rsidR="00000000" w:rsidDel="00000000" w:rsidP="00000000" w:rsidRDefault="00000000" w:rsidRPr="00000000" w14:paraId="0000004A">
      <w:pPr>
        <w:pStyle w:val="Heading2"/>
        <w:rPr>
          <w:rFonts w:ascii="Arial" w:cs="Arial" w:eastAsia="Arial" w:hAnsi="Arial"/>
          <w:b w:val="1"/>
          <w:bCs w:val="1"/>
          <w:color w:val="434343"/>
        </w:rPr>
      </w:pPr>
      <w:bookmarkStart w:colFirst="0" w:colLast="0" w:name="_yzsbizi1qm10" w:id="5"/>
      <w:bookmarkEnd w:id="5"/>
      <w:r w:rsidDel="00000000" w:rsidR="00000000" w:rsidRPr="00000000">
        <w:rPr>
          <w:b w:val="1"/>
          <w:bCs w:val="1"/>
          <w:rtl w:val="0"/>
        </w:rPr>
        <w:t xml:space="preserve">Activities</w:t>
      </w:r>
      <w:r w:rsidDel="00000000" w:rsidR="00000000" w:rsidRPr="00000000">
        <w:rPr>
          <w:rtl w:val="0"/>
        </w:rPr>
      </w:r>
    </w:p>
    <w:tbl>
      <w:tblPr>
        <w:tblStyle w:val="Table3"/>
        <w:tblW w:w="10080.0" w:type="dxa"/>
        <w:jc w:val="left"/>
        <w:tblInd w:w="-115.0" w:type="dxa"/>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4B">
            <w:pPr>
              <w:rPr>
                <w:b w:val="1"/>
                <w:bCs w:val="1"/>
                <w:color w:val="ffffff"/>
              </w:rPr>
            </w:pPr>
            <w:r w:rsidDel="00000000" w:rsidR="00000000" w:rsidRPr="00000000">
              <w:rPr>
                <w:b w:val="1"/>
                <w:bCs w:val="1"/>
                <w:color w:val="ffffff"/>
                <w:rtl w:val="0"/>
              </w:rPr>
              <w:t xml:space="preserve">Purpose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4C">
            <w:pPr>
              <w:rPr>
                <w:b w:val="1"/>
                <w:bCs w:val="1"/>
                <w:color w:val="ffffff"/>
              </w:rPr>
            </w:pPr>
            <w:r w:rsidDel="00000000" w:rsidR="00000000" w:rsidRPr="00000000">
              <w:rPr>
                <w:b w:val="1"/>
                <w:bCs w:val="1"/>
                <w:color w:val="ffffff"/>
                <w:rtl w:val="0"/>
              </w:rPr>
              <w:t xml:space="preserve">Activity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4D">
            <w:pPr>
              <w:spacing w:line="240" w:lineRule="auto"/>
              <w:rPr>
                <w:b w:val="1"/>
                <w:bCs w:val="1"/>
              </w:rPr>
            </w:pPr>
            <w:r w:rsidDel="00000000" w:rsidR="00000000" w:rsidRPr="00000000">
              <w:rPr>
                <w:b w:val="1"/>
                <w:bCs w:val="1"/>
                <w:rtl w:val="0"/>
              </w:rPr>
              <w:t xml:space="preserve">Check understanding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Create a two-column chart: Primary knowledge we acquire naturally vs. secondary knowledge that needs explicit teaching. Fill it with examples from your subject.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4F">
            <w:pPr>
              <w:spacing w:line="240" w:lineRule="auto"/>
              <w:rPr>
                <w:b w:val="1"/>
                <w:bCs w:val="1"/>
              </w:rPr>
            </w:pPr>
            <w:r w:rsidDel="00000000" w:rsidR="00000000" w:rsidRPr="00000000">
              <w:rPr>
                <w:b w:val="1"/>
                <w:bCs w:val="1"/>
                <w:rtl w:val="0"/>
              </w:rPr>
              <w:t xml:space="preserve">Embed retrieval</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50">
            <w:pPr>
              <w:spacing w:line="240" w:lineRule="auto"/>
              <w:rPr/>
            </w:pPr>
            <w:r w:rsidDel="00000000" w:rsidR="00000000" w:rsidRPr="00000000">
              <w:rPr>
                <w:rtl w:val="0"/>
              </w:rPr>
              <w:t xml:space="preserve">After each lesson, write two “exit-ticket” questions for use next week that require students to recall—not reference—the content taught today.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51">
            <w:pPr>
              <w:spacing w:line="240" w:lineRule="auto"/>
              <w:rPr>
                <w:b w:val="1"/>
                <w:bCs w:val="1"/>
              </w:rPr>
            </w:pPr>
            <w:r w:rsidDel="00000000" w:rsidR="00000000" w:rsidRPr="00000000">
              <w:rPr>
                <w:b w:val="1"/>
                <w:bCs w:val="1"/>
                <w:rtl w:val="0"/>
              </w:rPr>
              <w:t xml:space="preserve">Contrast study habits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52">
            <w:pPr>
              <w:spacing w:line="240" w:lineRule="auto"/>
              <w:rPr/>
            </w:pPr>
            <w:r w:rsidDel="00000000" w:rsidR="00000000" w:rsidRPr="00000000">
              <w:rPr>
                <w:rtl w:val="0"/>
              </w:rPr>
              <w:t xml:space="preserve">Give students a short text and assign half to re-read and half self-quiz. One week later, test both groups on the content and compare results.</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spacing w:before="240" w:lineRule="auto"/>
        <w:rPr>
          <w:b w:val="1"/>
          <w:bCs w:val="1"/>
        </w:rPr>
      </w:pPr>
      <w:bookmarkStart w:colFirst="0" w:colLast="0" w:name="_84ev0o15oi82" w:id="6"/>
      <w:bookmarkEnd w:id="6"/>
      <w:r w:rsidDel="00000000" w:rsidR="00000000" w:rsidRPr="00000000">
        <w:rPr>
          <w:b w:val="1"/>
          <w:bCs w:val="1"/>
          <w:rtl w:val="0"/>
        </w:rPr>
        <w:t xml:space="preserve">Further reading</w:t>
      </w:r>
    </w:p>
    <w:p w:rsidR="00000000" w:rsidDel="00000000" w:rsidP="00000000" w:rsidRDefault="00000000" w:rsidRPr="00000000" w14:paraId="00000055">
      <w:pPr>
        <w:numPr>
          <w:ilvl w:val="0"/>
          <w:numId w:val="3"/>
        </w:numPr>
        <w:spacing w:after="200" w:lineRule="auto"/>
        <w:ind w:left="720" w:hanging="360"/>
      </w:pPr>
      <w:r w:rsidDel="00000000" w:rsidR="00000000" w:rsidRPr="00000000">
        <w:rPr>
          <w:rtl w:val="0"/>
        </w:rPr>
        <w:t xml:space="preserve">Bjork, R. &amp; Bjork, E. (2020). “</w:t>
      </w:r>
      <w:hyperlink r:id="rId6">
        <w:r w:rsidDel="00000000" w:rsidR="00000000" w:rsidRPr="00000000">
          <w:rPr>
            <w:color w:val="1155cc"/>
            <w:u w:val="single"/>
            <w:rtl w:val="0"/>
          </w:rPr>
          <w:t xml:space="preserve">Making things hard on yourself, but in a good way</w:t>
        </w:r>
      </w:hyperlink>
      <w:r w:rsidDel="00000000" w:rsidR="00000000" w:rsidRPr="00000000">
        <w:rPr>
          <w:rtl w:val="0"/>
        </w:rPr>
        <w:t xml:space="preserve">.”</w:t>
      </w:r>
    </w:p>
    <w:p w:rsidR="00000000" w:rsidDel="00000000" w:rsidP="00000000" w:rsidRDefault="00000000" w:rsidRPr="00000000" w14:paraId="00000056">
      <w:pPr>
        <w:numPr>
          <w:ilvl w:val="0"/>
          <w:numId w:val="3"/>
        </w:numPr>
        <w:spacing w:after="200" w:before="0" w:lineRule="auto"/>
        <w:ind w:left="720" w:hanging="360"/>
      </w:pPr>
      <w:r w:rsidDel="00000000" w:rsidR="00000000" w:rsidRPr="00000000">
        <w:rPr>
          <w:rtl w:val="0"/>
        </w:rPr>
        <w:t xml:space="preserve">Brown, P. C., Roediger III, H. L., &amp; McDaniel, M. A. (2014)."</w:t>
      </w:r>
      <w:hyperlink r:id="rId7">
        <w:r w:rsidDel="00000000" w:rsidR="00000000" w:rsidRPr="00000000">
          <w:rPr>
            <w:color w:val="1155cc"/>
            <w:u w:val="single"/>
            <w:rtl w:val="0"/>
          </w:rPr>
          <w:t xml:space="preserve">Make it stic</w:t>
        </w:r>
      </w:hyperlink>
      <w:r w:rsidDel="00000000" w:rsidR="00000000" w:rsidRPr="00000000">
        <w:rPr>
          <w:rtl w:val="0"/>
        </w:rPr>
        <w:t xml:space="preserve">k.".</w:t>
      </w:r>
    </w:p>
    <w:p w:rsidR="00000000" w:rsidDel="00000000" w:rsidP="00000000" w:rsidRDefault="00000000" w:rsidRPr="00000000" w14:paraId="00000057">
      <w:pPr>
        <w:numPr>
          <w:ilvl w:val="0"/>
          <w:numId w:val="3"/>
        </w:numPr>
        <w:spacing w:after="200" w:before="0" w:lineRule="auto"/>
        <w:ind w:left="720" w:hanging="360"/>
      </w:pPr>
      <w:r w:rsidDel="00000000" w:rsidR="00000000" w:rsidRPr="00000000">
        <w:rPr>
          <w:rtl w:val="0"/>
        </w:rPr>
        <w:t xml:space="preserve">Dunlosky, J. et al. (2013). “</w:t>
      </w:r>
      <w:hyperlink r:id="rId8">
        <w:r w:rsidDel="00000000" w:rsidR="00000000" w:rsidRPr="00000000">
          <w:rPr>
            <w:color w:val="1155cc"/>
            <w:u w:val="single"/>
            <w:rtl w:val="0"/>
          </w:rPr>
          <w:t xml:space="preserve">Improving students’ learning with effective study techniques</w:t>
        </w:r>
      </w:hyperlink>
      <w:r w:rsidDel="00000000" w:rsidR="00000000" w:rsidRPr="00000000">
        <w:rPr>
          <w:rtl w:val="0"/>
        </w:rPr>
        <w:t xml:space="preserve">.”</w:t>
      </w:r>
    </w:p>
    <w:p w:rsidR="00000000" w:rsidDel="00000000" w:rsidP="00000000" w:rsidRDefault="00000000" w:rsidRPr="00000000" w14:paraId="00000058">
      <w:pPr>
        <w:numPr>
          <w:ilvl w:val="0"/>
          <w:numId w:val="3"/>
        </w:numPr>
        <w:spacing w:after="200" w:before="0" w:lineRule="auto"/>
        <w:ind w:left="720" w:hanging="360"/>
      </w:pPr>
      <w:r w:rsidDel="00000000" w:rsidR="00000000" w:rsidRPr="00000000">
        <w:rPr>
          <w:rtl w:val="0"/>
        </w:rPr>
        <w:t xml:space="preserve">Sweller, J. (2011). “</w:t>
      </w:r>
      <w:hyperlink r:id="rId9">
        <w:r w:rsidDel="00000000" w:rsidR="00000000" w:rsidRPr="00000000">
          <w:rPr>
            <w:color w:val="1155cc"/>
            <w:u w:val="single"/>
            <w:rtl w:val="0"/>
          </w:rPr>
          <w:t xml:space="preserve">Cognitive Load Theory</w:t>
        </w:r>
      </w:hyperlink>
      <w:r w:rsidDel="00000000" w:rsidR="00000000" w:rsidRPr="00000000">
        <w:rPr>
          <w:rtl w:val="0"/>
        </w:rPr>
        <w:t xml:space="preserve">.”</w:t>
      </w:r>
    </w:p>
    <w:p w:rsidR="00000000" w:rsidDel="00000000" w:rsidP="00000000" w:rsidRDefault="00000000" w:rsidRPr="00000000" w14:paraId="00000059">
      <w:pPr>
        <w:numPr>
          <w:ilvl w:val="0"/>
          <w:numId w:val="3"/>
        </w:numPr>
        <w:spacing w:after="200" w:lineRule="auto"/>
        <w:ind w:left="720" w:hanging="360"/>
      </w:pPr>
      <w:r w:rsidDel="00000000" w:rsidR="00000000" w:rsidRPr="00000000">
        <w:rPr>
          <w:rtl w:val="0"/>
        </w:rPr>
        <w:t xml:space="preserve">Wiliam, D. (2018). </w:t>
      </w:r>
      <w:hyperlink r:id="rId10">
        <w:r w:rsidDel="00000000" w:rsidR="00000000" w:rsidRPr="00000000">
          <w:rPr>
            <w:color w:val="1155cc"/>
            <w:u w:val="single"/>
            <w:rtl w:val="0"/>
          </w:rPr>
          <w:t xml:space="preserve">Embedded Formative Assessment</w:t>
        </w:r>
      </w:hyperlink>
      <w:r w:rsidDel="00000000" w:rsidR="00000000" w:rsidRPr="00000000">
        <w:rPr>
          <w:rtl w:val="0"/>
        </w:rPr>
        <w:t xml:space="preserve">.</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ytone One">
    <w:embedRegular w:fontKey="{00000000-0000-0000-0000-000000000000}" r:id="rId1" w:subsetted="0"/>
  </w:font>
  <w:font w:name="Palanquin">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center"/>
      <w:rPr/>
    </w:pPr>
    <w:r w:rsidDel="00000000" w:rsidR="00000000" w:rsidRPr="00000000">
      <w:rPr/>
      <w:drawing>
        <wp:inline distB="114300" distT="114300" distL="114300" distR="114300">
          <wp:extent cx="457200" cy="457200"/>
          <wp:effectExtent b="0" l="0" r="0" t="0"/>
          <wp:docPr id="1" name="image1.png"/>
          <a:graphic>
            <a:graphicData uri="http://schemas.openxmlformats.org/drawingml/2006/picture">
              <pic:pic>
                <pic:nvPicPr>
                  <pic:cNvPr id="0" name="image1.png"/>
                  <pic:cNvPicPr preferRelativeResize="0"/>
                </pic:nvPicPr>
                <pic:blipFill>
                  <a:blip r:embed="rId1"/>
                  <a:srcRect b="14551" l="14423" r="14743" t="10321"/>
                  <a:stretch>
                    <a:fillRect/>
                  </a:stretch>
                </pic:blipFill>
                <pic:spPr>
                  <a:xfrm>
                    <a:off x="0" y="0"/>
                    <a:ext cx="457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jc w:val="center"/>
      <w:rPr/>
    </w:pPr>
    <w:hyperlink r:id="rId2">
      <w:r w:rsidDel="00000000" w:rsidR="00000000" w:rsidRPr="00000000">
        <w:rPr>
          <w:rFonts w:ascii="Palanquin" w:cs="Palanquin" w:eastAsia="Palanquin" w:hAnsi="Palanquin"/>
          <w:color w:val="283278"/>
          <w:u w:val="single"/>
          <w:rtl w:val="0"/>
        </w:rPr>
        <w:t xml:space="preserve">knowledgematterscampaign.org</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left"/>
      <w:rPr>
        <w:rFonts w:ascii="Paytone One" w:cs="Paytone One" w:eastAsia="Paytone One" w:hAnsi="Paytone One"/>
        <w:color w:val="283278"/>
        <w:sz w:val="2"/>
        <w:szCs w:val="2"/>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283278"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pStyle w:val="Title"/>
            <w:jc w:val="center"/>
            <w:rPr>
              <w:rFonts w:ascii="Paytone One" w:cs="Paytone One" w:eastAsia="Paytone One" w:hAnsi="Paytone One"/>
              <w:color w:val="283278"/>
              <w:sz w:val="48"/>
              <w:szCs w:val="48"/>
            </w:rPr>
          </w:pPr>
          <w:bookmarkStart w:colFirst="0" w:colLast="0" w:name="_qpzjyhweaq3q" w:id="7"/>
          <w:bookmarkEnd w:id="7"/>
          <w:r w:rsidDel="00000000" w:rsidR="00000000" w:rsidRPr="00000000">
            <w:rPr>
              <w:rFonts w:ascii="Paytone One" w:cs="Paytone One" w:eastAsia="Paytone One" w:hAnsi="Paytone One"/>
              <w:color w:val="283278"/>
              <w:sz w:val="48"/>
              <w:szCs w:val="48"/>
              <w:rtl w:val="0"/>
            </w:rPr>
            <w:t xml:space="preserve">Knowledge Matters Campaign</w:t>
          </w:r>
        </w:p>
        <w:p w:rsidR="00000000" w:rsidDel="00000000" w:rsidP="00000000" w:rsidRDefault="00000000" w:rsidRPr="00000000" w14:paraId="0000005C">
          <w:pPr>
            <w:jc w:val="center"/>
            <w:rPr>
              <w:rFonts w:ascii="Paytone One" w:cs="Paytone One" w:eastAsia="Paytone One" w:hAnsi="Paytone One"/>
              <w:color w:val="283278"/>
              <w:sz w:val="10"/>
              <w:szCs w:val="10"/>
            </w:rPr>
          </w:pPr>
          <w:r w:rsidDel="00000000" w:rsidR="00000000" w:rsidRPr="00000000">
            <w:rPr>
              <w:rtl w:val="0"/>
            </w:rPr>
          </w:r>
        </w:p>
      </w:tc>
    </w:tr>
  </w:tbl>
  <w:p w:rsidR="00000000" w:rsidDel="00000000" w:rsidP="00000000" w:rsidRDefault="00000000" w:rsidRPr="00000000" w14:paraId="0000005D">
    <w:pPr>
      <w:jc w:val="left"/>
      <w:rPr>
        <w:rFonts w:ascii="Paytone One" w:cs="Paytone One" w:eastAsia="Paytone One" w:hAnsi="Paytone One"/>
        <w:color w:val="283278"/>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alanquin" w:cs="Palanquin" w:eastAsia="Palanquin" w:hAnsi="Palanquin"/>
      <w:color w:val="283278"/>
      <w:sz w:val="40"/>
      <w:szCs w:val="40"/>
    </w:rPr>
  </w:style>
  <w:style w:type="paragraph" w:styleId="Heading2">
    <w:name w:val="heading 2"/>
    <w:basedOn w:val="Normal"/>
    <w:next w:val="Normal"/>
    <w:pPr>
      <w:keepNext w:val="1"/>
      <w:keepLines w:val="1"/>
      <w:spacing w:after="120" w:before="360" w:lineRule="auto"/>
    </w:pPr>
    <w:rPr>
      <w:rFonts w:ascii="Palanquin" w:cs="Palanquin" w:eastAsia="Palanquin" w:hAnsi="Palanquin"/>
      <w:color w:val="283278"/>
      <w:sz w:val="32"/>
      <w:szCs w:val="32"/>
    </w:rPr>
  </w:style>
  <w:style w:type="paragraph" w:styleId="Heading3">
    <w:name w:val="heading 3"/>
    <w:basedOn w:val="Normal"/>
    <w:next w:val="Normal"/>
    <w:pPr>
      <w:keepNext w:val="1"/>
      <w:keepLines w:val="1"/>
      <w:spacing w:after="80" w:before="320" w:lineRule="auto"/>
    </w:pPr>
    <w:rPr>
      <w:rFonts w:ascii="Palanquin" w:cs="Palanquin" w:eastAsia="Palanquin" w:hAnsi="Palanquin"/>
      <w:color w:val="283278"/>
      <w:sz w:val="28"/>
      <w:szCs w:val="28"/>
    </w:rPr>
  </w:style>
  <w:style w:type="paragraph" w:styleId="Heading4">
    <w:name w:val="heading 4"/>
    <w:basedOn w:val="Normal"/>
    <w:next w:val="Normal"/>
    <w:pPr>
      <w:keepNext w:val="1"/>
      <w:keepLines w:val="1"/>
      <w:spacing w:after="80" w:before="280" w:lineRule="auto"/>
    </w:pPr>
    <w:rPr>
      <w:rFonts w:ascii="Palanquin" w:cs="Palanquin" w:eastAsia="Palanquin" w:hAnsi="Palanquin"/>
      <w:color w:val="283278"/>
      <w:sz w:val="24"/>
      <w:szCs w:val="24"/>
    </w:rPr>
  </w:style>
  <w:style w:type="paragraph" w:styleId="Heading5">
    <w:name w:val="heading 5"/>
    <w:basedOn w:val="Normal"/>
    <w:next w:val="Normal"/>
    <w:pPr>
      <w:keepNext w:val="1"/>
      <w:keepLines w:val="1"/>
      <w:spacing w:after="80" w:before="240" w:lineRule="auto"/>
    </w:pPr>
    <w:rPr>
      <w:rFonts w:ascii="Palanquin" w:cs="Palanquin" w:eastAsia="Palanquin" w:hAnsi="Palanquin"/>
      <w:color w:val="283278"/>
    </w:rPr>
  </w:style>
  <w:style w:type="paragraph" w:styleId="Heading6">
    <w:name w:val="heading 6"/>
    <w:basedOn w:val="Normal"/>
    <w:next w:val="Normal"/>
    <w:pPr>
      <w:keepNext w:val="1"/>
      <w:keepLines w:val="1"/>
      <w:spacing w:after="80" w:before="240" w:lineRule="auto"/>
    </w:pPr>
    <w:rPr>
      <w:rFonts w:ascii="Palanquin" w:cs="Palanquin" w:eastAsia="Palanquin" w:hAnsi="Palanquin"/>
      <w:i w:val="1"/>
      <w:iCs w:val="1"/>
      <w:color w:val="283278"/>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amazon.com/Formative-Assessment-Strategies-Classroom-Engagement-dp-1945349220/dp/1945349220/ref=dp_ob_title_bk" TargetMode="External"/><Relationship Id="rId12" Type="http://schemas.openxmlformats.org/officeDocument/2006/relationships/footer" Target="footer1.xml"/><Relationship Id="rId9" Type="http://schemas.openxmlformats.org/officeDocument/2006/relationships/hyperlink" Target="https://psycnet.apa.org/record/2011-17503-002" TargetMode="External"/><Relationship Id="rId5" Type="http://schemas.openxmlformats.org/officeDocument/2006/relationships/styles" Target="styles.xml"/><Relationship Id="rId6" Type="http://schemas.openxmlformats.org/officeDocument/2006/relationships/hyperlink" Target="https://www.researchgate.net/publication/284097727_Making_things_hard_on_yourself_but_in_a_good_way_Creating_desirable_difficulties_to_enhance_learning" TargetMode="External"/><Relationship Id="rId7" Type="http://schemas.openxmlformats.org/officeDocument/2006/relationships/hyperlink" Target="https://www.retrievalpractice.org/make-it-stick" TargetMode="External"/><Relationship Id="rId8" Type="http://schemas.openxmlformats.org/officeDocument/2006/relationships/hyperlink" Target="https://www.researchgate.net/publication/258180568_Improving_Students'_Learning_With_Effective_Learning_Techniqu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ytoneOne-regular.ttf"/><Relationship Id="rId2" Type="http://schemas.openxmlformats.org/officeDocument/2006/relationships/font" Target="fonts/Palanquin-regular.ttf"/><Relationship Id="rId3" Type="http://schemas.openxmlformats.org/officeDocument/2006/relationships/font" Target="fonts/Palanquin-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knowledgematterscampa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