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27.99999999999997" w:lineRule="auto"/>
        <w:jc w:val="center"/>
        <w:rPr>
          <w:b w:val="1"/>
          <w:bCs w:val="1"/>
        </w:rPr>
      </w:pPr>
      <w:bookmarkStart w:colFirst="0" w:colLast="0" w:name="_sgfuuqy553ov" w:id="0"/>
      <w:bookmarkEnd w:id="0"/>
      <w:r w:rsidDel="00000000" w:rsidR="00000000" w:rsidRPr="00000000">
        <w:rPr>
          <w:b w:val="1"/>
          <w:bCs w:val="1"/>
          <w:rtl w:val="0"/>
        </w:rPr>
        <w:t xml:space="preserve">Literacy and the Science of Learning Podcast </w:t>
      </w:r>
    </w:p>
    <w:p w:rsidR="00000000" w:rsidDel="00000000" w:rsidP="00000000" w:rsidRDefault="00000000" w:rsidRPr="00000000" w14:paraId="00000002">
      <w:pPr>
        <w:pStyle w:val="Heading1"/>
        <w:spacing w:after="0" w:before="0" w:line="227.99999999999997" w:lineRule="auto"/>
        <w:jc w:val="center"/>
        <w:rPr/>
      </w:pPr>
      <w:bookmarkStart w:colFirst="0" w:colLast="0" w:name="_qmimdonlvz7v" w:id="1"/>
      <w:bookmarkEnd w:id="1"/>
      <w:r w:rsidDel="00000000" w:rsidR="00000000" w:rsidRPr="00000000">
        <w:rPr>
          <w:rtl w:val="0"/>
        </w:rPr>
        <w:t xml:space="preserve">Study Guide, Episodes 3-4</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Attention is the currency of learning. Yet in modern learning environments, students’ attention is splintered, surrounded by digital distractions that interrupt focus and train developing brains to seek out interruptions. It’s difficult for students to read fluently and at an engaged pace for a length of time.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Don’t give up on books just yet—the same cognitive science that shows how challenging constant digital stimuli can be also tells us that attention is malleable. Reading stamina is, too: whenever we “fire” the neurons in our brains, whether by reading a book or responding to a buzzing smartphone, we “wire” or build our brain. Educators can create learning environments with these insights in mind: use hard-copy books, reintroduce read-alouds for students of all ages, and build in opportunities for social exchanges rooted in shared texts. Such environments support students to read attentively for sustained periods of time, building up focus and fluency to allow working memory to make sense of the words on the page.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It’s important, as well, for students to read whole books—and not just one. Reading a book exercises a young person’s stamina and introduces them to complexity you cannot get from an excerpted text. And because stories are “psychologically privileged,” our minds are primed to more readily understand and make sense of books that are narrative in nature. The knowledge and cultural capital that students gain when they struggle through and successfully read an entire book cannot be replicated with excerpted text. Books show reflective long-form thinking through characters’ arcs and bring complex ideas to the fore, “firing” and “wiring” individual brains while also introducing shared ideas and references to a group of young people who can discuss and debate them, together.</w:t>
      </w:r>
      <w:r w:rsidDel="00000000" w:rsidR="00000000" w:rsidRPr="00000000">
        <w:rPr>
          <w:rtl w:val="0"/>
        </w:rPr>
      </w:r>
    </w:p>
    <w:p w:rsidR="00000000" w:rsidDel="00000000" w:rsidP="00000000" w:rsidRDefault="00000000" w:rsidRPr="00000000" w14:paraId="00000009">
      <w:pPr>
        <w:pStyle w:val="Heading2"/>
        <w:rPr>
          <w:b w:val="1"/>
          <w:bCs w:val="1"/>
        </w:rPr>
      </w:pPr>
      <w:bookmarkStart w:colFirst="0" w:colLast="0" w:name="_ch1gyr529njt" w:id="2"/>
      <w:bookmarkEnd w:id="2"/>
      <w:r w:rsidDel="00000000" w:rsidR="00000000" w:rsidRPr="00000000">
        <w:rPr>
          <w:b w:val="1"/>
          <w:bCs w:val="1"/>
          <w:rtl w:val="0"/>
        </w:rPr>
        <w:t xml:space="preserve">Big-picture goals</w:t>
      </w:r>
    </w:p>
    <w:p w:rsidR="00000000" w:rsidDel="00000000" w:rsidP="00000000" w:rsidRDefault="00000000" w:rsidRPr="00000000" w14:paraId="0000000A">
      <w:pPr>
        <w:numPr>
          <w:ilvl w:val="0"/>
          <w:numId w:val="6"/>
        </w:numPr>
        <w:spacing w:after="200" w:lineRule="auto"/>
        <w:ind w:left="360"/>
      </w:pPr>
      <w:r w:rsidDel="00000000" w:rsidR="00000000" w:rsidRPr="00000000">
        <w:rPr>
          <w:rtl w:val="0"/>
        </w:rPr>
        <w:t xml:space="preserve">Explain why fluency is essential for comprehension and how attention habits are shaped by reading environments.</w:t>
      </w:r>
    </w:p>
    <w:p w:rsidR="00000000" w:rsidDel="00000000" w:rsidP="00000000" w:rsidRDefault="00000000" w:rsidRPr="00000000" w14:paraId="0000000B">
      <w:pPr>
        <w:numPr>
          <w:ilvl w:val="0"/>
          <w:numId w:val="6"/>
        </w:numPr>
        <w:spacing w:after="200" w:before="0" w:lineRule="auto"/>
        <w:ind w:left="360"/>
      </w:pPr>
      <w:r w:rsidDel="00000000" w:rsidR="00000000" w:rsidRPr="00000000">
        <w:rPr>
          <w:rtl w:val="0"/>
        </w:rPr>
        <w:t xml:space="preserve">Describe how sustained engagement with whole books builds stamina, cultural capital, and deep thinking.</w:t>
      </w:r>
    </w:p>
    <w:p w:rsidR="00000000" w:rsidDel="00000000" w:rsidP="00000000" w:rsidRDefault="00000000" w:rsidRPr="00000000" w14:paraId="0000000C">
      <w:pPr>
        <w:numPr>
          <w:ilvl w:val="0"/>
          <w:numId w:val="6"/>
        </w:numPr>
        <w:spacing w:after="200" w:before="0" w:lineRule="auto"/>
        <w:ind w:left="360"/>
      </w:pPr>
      <w:r w:rsidDel="00000000" w:rsidR="00000000" w:rsidRPr="00000000">
        <w:rPr>
          <w:rtl w:val="0"/>
        </w:rPr>
        <w:t xml:space="preserve">Identify classroom practices that cultivate attention, fluency, and investment in reading.</w:t>
      </w:r>
    </w:p>
    <w:p w:rsidR="00000000" w:rsidDel="00000000" w:rsidP="00000000" w:rsidRDefault="00000000" w:rsidRPr="00000000" w14:paraId="0000000D">
      <w:pPr>
        <w:numPr>
          <w:ilvl w:val="0"/>
          <w:numId w:val="6"/>
        </w:numPr>
        <w:spacing w:after="200" w:lineRule="auto"/>
        <w:ind w:left="360"/>
      </w:pPr>
      <w:r w:rsidDel="00000000" w:rsidR="00000000" w:rsidRPr="00000000">
        <w:rPr>
          <w:rtl w:val="0"/>
        </w:rPr>
        <w:t xml:space="preserve">Argue why “decentering the book” is counterproductive, using cognitive science evidence.</w:t>
      </w:r>
    </w:p>
    <w:p w:rsidR="00000000" w:rsidDel="00000000" w:rsidP="00000000" w:rsidRDefault="00000000" w:rsidRPr="00000000" w14:paraId="0000000E">
      <w:pPr>
        <w:pStyle w:val="Heading2"/>
        <w:rPr>
          <w:rFonts w:ascii="Arial" w:cs="Arial" w:eastAsia="Arial" w:hAnsi="Arial"/>
          <w:color w:val="434343"/>
        </w:rPr>
      </w:pPr>
      <w:bookmarkStart w:colFirst="0" w:colLast="0" w:name="_zo6pndivglt" w:id="3"/>
      <w:bookmarkEnd w:id="3"/>
      <w:r w:rsidDel="00000000" w:rsidR="00000000" w:rsidRPr="00000000">
        <w:rPr>
          <w:b w:val="1"/>
          <w:bCs w:val="1"/>
          <w:rtl w:val="0"/>
        </w:rPr>
        <w:t xml:space="preserve">Episode snapshots</w:t>
      </w:r>
      <w:r w:rsidDel="00000000" w:rsidR="00000000" w:rsidRPr="00000000">
        <w:rPr>
          <w:rtl w:val="0"/>
        </w:rPr>
      </w:r>
    </w:p>
    <w:tbl>
      <w:tblPr>
        <w:tblStyle w:val="Table1"/>
        <w:tblW w:w="10080.0" w:type="dxa"/>
        <w:jc w:val="left"/>
        <w:tblInd w:w="-115.0" w:type="dxa"/>
        <w:tblLayout w:type="fixed"/>
        <w:tblLook w:val="04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0F">
            <w:pPr>
              <w:rPr>
                <w:b w:val="1"/>
                <w:bCs w:val="1"/>
                <w:color w:val="ffffff"/>
              </w:rPr>
            </w:pPr>
            <w:r w:rsidDel="00000000" w:rsidR="00000000" w:rsidRPr="00000000">
              <w:rPr>
                <w:b w:val="1"/>
                <w:bCs w:val="1"/>
                <w:color w:val="ffffff"/>
                <w:rtl w:val="0"/>
              </w:rPr>
              <w:t xml:space="preserve">Episode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0">
            <w:pPr>
              <w:rPr>
                <w:b w:val="1"/>
                <w:bCs w:val="1"/>
                <w:color w:val="ffffff"/>
              </w:rPr>
            </w:pPr>
            <w:r w:rsidDel="00000000" w:rsidR="00000000" w:rsidRPr="00000000">
              <w:rPr>
                <w:b w:val="1"/>
                <w:bCs w:val="1"/>
                <w:color w:val="ffffff"/>
                <w:rtl w:val="0"/>
              </w:rPr>
              <w:t xml:space="preserve">Core message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1">
            <w:pPr>
              <w:rPr>
                <w:b w:val="1"/>
                <w:bCs w:val="1"/>
                <w:color w:val="ffffff"/>
              </w:rPr>
            </w:pPr>
            <w:r w:rsidDel="00000000" w:rsidR="00000000" w:rsidRPr="00000000">
              <w:rPr>
                <w:b w:val="1"/>
                <w:bCs w:val="1"/>
                <w:color w:val="ffffff"/>
                <w:rtl w:val="0"/>
              </w:rPr>
              <w:t xml:space="preserve">Must-know concepts</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12">
            <w:pPr>
              <w:rPr>
                <w:b w:val="1"/>
                <w:bCs w:val="1"/>
                <w:color w:val="ffffff"/>
              </w:rPr>
            </w:pPr>
            <w:r w:rsidDel="00000000" w:rsidR="00000000" w:rsidRPr="00000000">
              <w:rPr>
                <w:b w:val="1"/>
                <w:bCs w:val="1"/>
                <w:color w:val="ffffff"/>
                <w:rtl w:val="0"/>
              </w:rPr>
              <w:t xml:space="preserve">Illustrative examples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3">
            <w:pPr>
              <w:spacing w:line="240" w:lineRule="auto"/>
              <w:rPr>
                <w:b w:val="1"/>
                <w:bCs w:val="1"/>
              </w:rPr>
            </w:pPr>
            <w:r w:rsidDel="00000000" w:rsidR="00000000" w:rsidRPr="00000000">
              <w:rPr>
                <w:b w:val="1"/>
                <w:bCs w:val="1"/>
                <w:rtl w:val="0"/>
              </w:rPr>
              <w:t xml:space="preserve">3 – “Fluency’s impact on comprehension”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4">
            <w:pPr>
              <w:rPr/>
            </w:pPr>
            <w:r w:rsidDel="00000000" w:rsidR="00000000" w:rsidRPr="00000000">
              <w:rPr>
                <w:rtl w:val="0"/>
              </w:rPr>
              <w:t xml:space="preserve">Reading fluently frees working memory for meaning-making. Dysfluency disrupts comprehension. Attention itself is malleable and must be cultivated.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5">
            <w:pPr>
              <w:numPr>
                <w:ilvl w:val="0"/>
                <w:numId w:val="2"/>
              </w:numPr>
              <w:spacing w:after="0" w:afterAutospacing="0" w:before="20" w:lineRule="auto"/>
              <w:ind w:left="360"/>
            </w:pPr>
            <w:r w:rsidDel="00000000" w:rsidR="00000000" w:rsidRPr="00000000">
              <w:rPr>
                <w:rtl w:val="0"/>
              </w:rPr>
              <w:t xml:space="preserve">Neuroplasticity and “we wire how we fire”</w:t>
            </w:r>
          </w:p>
          <w:p w:rsidR="00000000" w:rsidDel="00000000" w:rsidP="00000000" w:rsidRDefault="00000000" w:rsidRPr="00000000" w14:paraId="00000016">
            <w:pPr>
              <w:numPr>
                <w:ilvl w:val="0"/>
                <w:numId w:val="2"/>
              </w:numPr>
              <w:spacing w:after="0" w:afterAutospacing="0" w:before="0" w:beforeAutospacing="0" w:lineRule="auto"/>
              <w:ind w:left="360"/>
            </w:pPr>
            <w:r w:rsidDel="00000000" w:rsidR="00000000" w:rsidRPr="00000000">
              <w:rPr>
                <w:rtl w:val="0"/>
              </w:rPr>
              <w:t xml:space="preserve">Reading on screens vs. print</w:t>
            </w:r>
          </w:p>
          <w:p w:rsidR="00000000" w:rsidDel="00000000" w:rsidP="00000000" w:rsidRDefault="00000000" w:rsidRPr="00000000" w14:paraId="00000017">
            <w:pPr>
              <w:numPr>
                <w:ilvl w:val="0"/>
                <w:numId w:val="2"/>
              </w:numPr>
              <w:spacing w:after="0" w:afterAutospacing="0" w:before="0" w:beforeAutospacing="0" w:lineRule="auto"/>
              <w:ind w:left="360"/>
            </w:pPr>
            <w:r w:rsidDel="00000000" w:rsidR="00000000" w:rsidRPr="00000000">
              <w:rPr>
                <w:rtl w:val="0"/>
              </w:rPr>
              <w:t xml:space="preserve">Fluency = accuracy + automaticity + prosody</w:t>
            </w:r>
          </w:p>
          <w:p w:rsidR="00000000" w:rsidDel="00000000" w:rsidP="00000000" w:rsidRDefault="00000000" w:rsidRPr="00000000" w14:paraId="00000018">
            <w:pPr>
              <w:numPr>
                <w:ilvl w:val="0"/>
                <w:numId w:val="2"/>
              </w:numPr>
              <w:spacing w:before="0" w:beforeAutospacing="0" w:lineRule="auto"/>
              <w:ind w:left="360"/>
            </w:pPr>
            <w:r w:rsidDel="00000000" w:rsidR="00000000" w:rsidRPr="00000000">
              <w:rPr>
                <w:rtl w:val="0"/>
              </w:rPr>
              <w:t xml:space="preserve">Working memory as a scratchpad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9">
            <w:pPr>
              <w:numPr>
                <w:ilvl w:val="0"/>
                <w:numId w:val="2"/>
              </w:numPr>
              <w:ind w:left="360"/>
            </w:pPr>
            <w:r w:rsidDel="00000000" w:rsidR="00000000" w:rsidRPr="00000000">
              <w:rPr>
                <w:rtl w:val="0"/>
              </w:rPr>
              <w:t xml:space="preserve">Teen toggling between book &amp; phone</w:t>
            </w:r>
          </w:p>
          <w:p w:rsidR="00000000" w:rsidDel="00000000" w:rsidP="00000000" w:rsidRDefault="00000000" w:rsidRPr="00000000" w14:paraId="0000001A">
            <w:pPr>
              <w:numPr>
                <w:ilvl w:val="0"/>
                <w:numId w:val="2"/>
              </w:numPr>
              <w:ind w:left="360"/>
            </w:pPr>
            <w:r w:rsidDel="00000000" w:rsidR="00000000" w:rsidRPr="00000000">
              <w:rPr>
                <w:rtl w:val="0"/>
              </w:rPr>
              <w:t xml:space="preserve">EdWeek survey: 83% of teachers saw stamina decline</w:t>
            </w:r>
          </w:p>
          <w:p w:rsidR="00000000" w:rsidDel="00000000" w:rsidP="00000000" w:rsidRDefault="00000000" w:rsidRPr="00000000" w14:paraId="0000001B">
            <w:pPr>
              <w:numPr>
                <w:ilvl w:val="0"/>
                <w:numId w:val="2"/>
              </w:numPr>
              <w:ind w:left="360"/>
            </w:pPr>
            <w:r w:rsidDel="00000000" w:rsidR="00000000" w:rsidRPr="00000000">
              <w:rPr>
                <w:rtl w:val="0"/>
              </w:rPr>
              <w:t xml:space="preserve">“No Parking” sign read automatically</w:t>
            </w:r>
          </w:p>
          <w:p w:rsidR="00000000" w:rsidDel="00000000" w:rsidP="00000000" w:rsidRDefault="00000000" w:rsidRPr="00000000" w14:paraId="0000001C">
            <w:pPr>
              <w:numPr>
                <w:ilvl w:val="0"/>
                <w:numId w:val="2"/>
              </w:numPr>
              <w:ind w:left="360"/>
            </w:pPr>
            <w:r w:rsidDel="00000000" w:rsidR="00000000" w:rsidRPr="00000000">
              <w:rPr>
                <w:rtl w:val="0"/>
              </w:rPr>
              <w:t xml:space="preserve">David Paige’s tandem theory of reading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vAlign w:val="center"/>
          </w:tcPr>
          <w:p w:rsidR="00000000" w:rsidDel="00000000" w:rsidP="00000000" w:rsidRDefault="00000000" w:rsidRPr="00000000" w14:paraId="0000001D">
            <w:pPr>
              <w:spacing w:line="240" w:lineRule="auto"/>
              <w:rPr>
                <w:b w:val="1"/>
                <w:bCs w:val="1"/>
              </w:rPr>
            </w:pPr>
            <w:r w:rsidDel="00000000" w:rsidR="00000000" w:rsidRPr="00000000">
              <w:rPr>
                <w:b w:val="1"/>
                <w:bCs w:val="1"/>
                <w:rtl w:val="0"/>
              </w:rPr>
              <w:t xml:space="preserve">4 – “The power of whole books”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E">
            <w:pPr>
              <w:rPr/>
            </w:pPr>
            <w:r w:rsidDel="00000000" w:rsidR="00000000" w:rsidRPr="00000000">
              <w:rPr>
                <w:rtl w:val="0"/>
              </w:rPr>
              <w:t xml:space="preserve">Whole books are uniquely powerful for building stamina, memory, empathy, and cultural capital. Excerpts and short texts cannot substitute.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1F">
            <w:pPr>
              <w:numPr>
                <w:ilvl w:val="0"/>
                <w:numId w:val="1"/>
              </w:numPr>
              <w:ind w:left="360"/>
            </w:pPr>
            <w:r w:rsidDel="00000000" w:rsidR="00000000" w:rsidRPr="00000000">
              <w:rPr>
                <w:rtl w:val="0"/>
              </w:rPr>
              <w:t xml:space="preserve">Decline of book-length reading</w:t>
            </w:r>
          </w:p>
          <w:p w:rsidR="00000000" w:rsidDel="00000000" w:rsidP="00000000" w:rsidRDefault="00000000" w:rsidRPr="00000000" w14:paraId="00000020">
            <w:pPr>
              <w:numPr>
                <w:ilvl w:val="0"/>
                <w:numId w:val="1"/>
              </w:numPr>
              <w:ind w:left="360"/>
            </w:pPr>
            <w:r w:rsidDel="00000000" w:rsidR="00000000" w:rsidRPr="00000000">
              <w:rPr>
                <w:rtl w:val="0"/>
              </w:rPr>
              <w:t xml:space="preserve">Stories as “psychologically privileged” (Willingham)</w:t>
            </w:r>
          </w:p>
          <w:p w:rsidR="00000000" w:rsidDel="00000000" w:rsidP="00000000" w:rsidRDefault="00000000" w:rsidRPr="00000000" w14:paraId="00000021">
            <w:pPr>
              <w:numPr>
                <w:ilvl w:val="0"/>
                <w:numId w:val="1"/>
              </w:numPr>
              <w:ind w:left="360"/>
            </w:pPr>
            <w:r w:rsidDel="00000000" w:rsidR="00000000" w:rsidRPr="00000000">
              <w:rPr>
                <w:rtl w:val="0"/>
              </w:rPr>
              <w:t xml:space="preserve">Stamina-building through incremental page goals</w:t>
            </w:r>
          </w:p>
          <w:p w:rsidR="00000000" w:rsidDel="00000000" w:rsidP="00000000" w:rsidRDefault="00000000" w:rsidRPr="00000000" w14:paraId="00000022">
            <w:pPr>
              <w:numPr>
                <w:ilvl w:val="0"/>
                <w:numId w:val="1"/>
              </w:numPr>
              <w:ind w:left="360"/>
            </w:pPr>
            <w:r w:rsidDel="00000000" w:rsidR="00000000" w:rsidRPr="00000000">
              <w:rPr>
                <w:rtl w:val="0"/>
              </w:rPr>
              <w:t xml:space="preserve">Cultural capital and equity</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3">
            <w:pPr>
              <w:numPr>
                <w:ilvl w:val="0"/>
                <w:numId w:val="1"/>
              </w:numPr>
              <w:ind w:left="360"/>
            </w:pPr>
            <w:r w:rsidDel="00000000" w:rsidR="00000000" w:rsidRPr="00000000">
              <w:rPr>
                <w:rtl w:val="0"/>
              </w:rPr>
              <w:t xml:space="preserve">College student shocked at book-heavy syllabus</w:t>
            </w:r>
          </w:p>
          <w:p w:rsidR="00000000" w:rsidDel="00000000" w:rsidP="00000000" w:rsidRDefault="00000000" w:rsidRPr="00000000" w14:paraId="00000024">
            <w:pPr>
              <w:numPr>
                <w:ilvl w:val="0"/>
                <w:numId w:val="1"/>
              </w:numPr>
              <w:ind w:left="360"/>
            </w:pPr>
            <w:r w:rsidDel="00000000" w:rsidR="00000000" w:rsidRPr="00000000">
              <w:rPr>
                <w:rtl w:val="0"/>
              </w:rPr>
              <w:t xml:space="preserve">EdWeek: only 17% teachers use whole books</w:t>
            </w:r>
          </w:p>
          <w:p w:rsidR="00000000" w:rsidDel="00000000" w:rsidP="00000000" w:rsidRDefault="00000000" w:rsidRPr="00000000" w14:paraId="00000025">
            <w:pPr>
              <w:numPr>
                <w:ilvl w:val="0"/>
                <w:numId w:val="1"/>
              </w:numPr>
              <w:ind w:left="360"/>
            </w:pPr>
            <w:r w:rsidDel="00000000" w:rsidR="00000000" w:rsidRPr="00000000">
              <w:rPr>
                <w:rtl w:val="0"/>
              </w:rPr>
              <w:t xml:space="preserve">Cedric Jennings at Brown missing cultural references</w:t>
            </w:r>
          </w:p>
          <w:p w:rsidR="00000000" w:rsidDel="00000000" w:rsidP="00000000" w:rsidRDefault="00000000" w:rsidRPr="00000000" w14:paraId="00000026">
            <w:pPr>
              <w:numPr>
                <w:ilvl w:val="0"/>
                <w:numId w:val="1"/>
              </w:numPr>
              <w:ind w:left="360"/>
            </w:pPr>
            <w:r w:rsidDel="00000000" w:rsidR="00000000" w:rsidRPr="00000000">
              <w:rPr>
                <w:rtl w:val="0"/>
              </w:rPr>
              <w:t xml:space="preserve">Lori Hughes’ class reading aloud</w:t>
            </w:r>
          </w:p>
        </w:tc>
      </w:tr>
    </w:tbl>
    <w:p w:rsidR="00000000" w:rsidDel="00000000" w:rsidP="00000000" w:rsidRDefault="00000000" w:rsidRPr="00000000" w14:paraId="00000027">
      <w:pPr>
        <w:pStyle w:val="Heading2"/>
        <w:rPr>
          <w:b w:val="1"/>
          <w:bCs w:val="1"/>
        </w:rPr>
      </w:pPr>
      <w:bookmarkStart w:colFirst="0" w:colLast="0" w:name="_zo6pndivglt" w:id="3"/>
      <w:bookmarkEnd w:id="3"/>
      <w:r w:rsidDel="00000000" w:rsidR="00000000" w:rsidRPr="00000000">
        <w:rPr>
          <w:b w:val="1"/>
          <w:bCs w:val="1"/>
          <w:rtl w:val="0"/>
        </w:rPr>
        <w:t xml:space="preserve">Glossary</w:t>
      </w:r>
    </w:p>
    <w:p w:rsidR="00000000" w:rsidDel="00000000" w:rsidP="00000000" w:rsidRDefault="00000000" w:rsidRPr="00000000" w14:paraId="00000028">
      <w:pPr>
        <w:numPr>
          <w:ilvl w:val="0"/>
          <w:numId w:val="3"/>
        </w:numPr>
        <w:spacing w:after="200" w:lineRule="auto"/>
        <w:ind w:left="720" w:hanging="360"/>
        <w:rPr>
          <w:u w:val="none"/>
        </w:rPr>
      </w:pPr>
      <w:r w:rsidDel="00000000" w:rsidR="00000000" w:rsidRPr="00000000">
        <w:rPr>
          <w:b w:val="1"/>
          <w:bCs w:val="1"/>
          <w:rtl w:val="0"/>
        </w:rPr>
        <w:t xml:space="preserve">Neuroplasticity</w:t>
      </w:r>
      <w:r w:rsidDel="00000000" w:rsidR="00000000" w:rsidRPr="00000000">
        <w:rPr>
          <w:rtl w:val="0"/>
        </w:rPr>
        <w:t xml:space="preserve"> – Brain’s ability to repurpose regions for new functions, such as reading.</w:t>
      </w:r>
    </w:p>
    <w:p w:rsidR="00000000" w:rsidDel="00000000" w:rsidP="00000000" w:rsidRDefault="00000000" w:rsidRPr="00000000" w14:paraId="00000029">
      <w:pPr>
        <w:numPr>
          <w:ilvl w:val="0"/>
          <w:numId w:val="3"/>
        </w:numPr>
        <w:spacing w:after="200" w:before="0" w:lineRule="auto"/>
        <w:ind w:left="720" w:hanging="360"/>
        <w:rPr>
          <w:u w:val="none"/>
        </w:rPr>
      </w:pPr>
      <w:r w:rsidDel="00000000" w:rsidR="00000000" w:rsidRPr="00000000">
        <w:rPr>
          <w:b w:val="1"/>
          <w:bCs w:val="1"/>
          <w:rtl w:val="0"/>
        </w:rPr>
        <w:t xml:space="preserve">Fluency</w:t>
      </w:r>
      <w:r w:rsidDel="00000000" w:rsidR="00000000" w:rsidRPr="00000000">
        <w:rPr>
          <w:rtl w:val="0"/>
        </w:rPr>
        <w:t xml:space="preserve"> – Reading with accuracy, automaticity, and expression.</w:t>
      </w:r>
    </w:p>
    <w:p w:rsidR="00000000" w:rsidDel="00000000" w:rsidP="00000000" w:rsidRDefault="00000000" w:rsidRPr="00000000" w14:paraId="0000002A">
      <w:pPr>
        <w:numPr>
          <w:ilvl w:val="0"/>
          <w:numId w:val="3"/>
        </w:numPr>
        <w:spacing w:after="200" w:before="0" w:lineRule="auto"/>
        <w:ind w:left="720" w:hanging="360"/>
        <w:rPr>
          <w:u w:val="none"/>
        </w:rPr>
      </w:pPr>
      <w:r w:rsidDel="00000000" w:rsidR="00000000" w:rsidRPr="00000000">
        <w:rPr>
          <w:b w:val="1"/>
          <w:bCs w:val="1"/>
          <w:rtl w:val="0"/>
        </w:rPr>
        <w:t xml:space="preserve">Tandem theory of reading</w:t>
      </w:r>
      <w:r w:rsidDel="00000000" w:rsidR="00000000" w:rsidRPr="00000000">
        <w:rPr>
          <w:rtl w:val="0"/>
        </w:rPr>
        <w:t xml:space="preserve"> – Fluent readers adapt rate and expression to understanding.</w:t>
      </w:r>
    </w:p>
    <w:p w:rsidR="00000000" w:rsidDel="00000000" w:rsidP="00000000" w:rsidRDefault="00000000" w:rsidRPr="00000000" w14:paraId="0000002B">
      <w:pPr>
        <w:numPr>
          <w:ilvl w:val="0"/>
          <w:numId w:val="3"/>
        </w:numPr>
        <w:spacing w:after="200" w:before="0" w:lineRule="auto"/>
        <w:ind w:left="720" w:hanging="360"/>
        <w:rPr>
          <w:u w:val="none"/>
        </w:rPr>
      </w:pPr>
      <w:r w:rsidDel="00000000" w:rsidR="00000000" w:rsidRPr="00000000">
        <w:rPr>
          <w:b w:val="1"/>
          <w:bCs w:val="1"/>
          <w:rtl w:val="0"/>
        </w:rPr>
        <w:t xml:space="preserve">Cultural capital</w:t>
      </w:r>
      <w:r w:rsidDel="00000000" w:rsidR="00000000" w:rsidRPr="00000000">
        <w:rPr>
          <w:rtl w:val="0"/>
        </w:rPr>
        <w:t xml:space="preserve"> – Shared knowledge of culturally significant works that grants access to conversations and opportunities.</w:t>
      </w:r>
    </w:p>
    <w:p w:rsidR="00000000" w:rsidDel="00000000" w:rsidP="00000000" w:rsidRDefault="00000000" w:rsidRPr="00000000" w14:paraId="0000002C">
      <w:pPr>
        <w:numPr>
          <w:ilvl w:val="0"/>
          <w:numId w:val="3"/>
        </w:numPr>
        <w:spacing w:after="200" w:lineRule="auto"/>
        <w:ind w:left="720" w:hanging="360"/>
        <w:rPr>
          <w:u w:val="none"/>
        </w:rPr>
      </w:pPr>
      <w:r w:rsidDel="00000000" w:rsidR="00000000" w:rsidRPr="00000000">
        <w:rPr>
          <w:b w:val="1"/>
          <w:bCs w:val="1"/>
          <w:rtl w:val="0"/>
        </w:rPr>
        <w:t xml:space="preserve">Psychologically privileged</w:t>
      </w:r>
      <w:r w:rsidDel="00000000" w:rsidR="00000000" w:rsidRPr="00000000">
        <w:rPr>
          <w:rtl w:val="0"/>
        </w:rPr>
        <w:t xml:space="preserve"> – Narrative format is easier to process and remember.</w:t>
      </w:r>
      <w:r w:rsidDel="00000000" w:rsidR="00000000" w:rsidRPr="00000000">
        <w:rPr>
          <w:rtl w:val="0"/>
        </w:rPr>
      </w:r>
    </w:p>
    <w:p w:rsidR="00000000" w:rsidDel="00000000" w:rsidP="00000000" w:rsidRDefault="00000000" w:rsidRPr="00000000" w14:paraId="0000002D">
      <w:pPr>
        <w:pStyle w:val="Heading2"/>
        <w:rPr>
          <w:rFonts w:ascii="Arial" w:cs="Arial" w:eastAsia="Arial" w:hAnsi="Arial"/>
          <w:b w:val="1"/>
          <w:bCs w:val="1"/>
          <w:color w:val="434343"/>
        </w:rPr>
      </w:pPr>
      <w:bookmarkStart w:colFirst="0" w:colLast="0" w:name="_ch1gyr529njt" w:id="2"/>
      <w:bookmarkEnd w:id="2"/>
      <w:r w:rsidDel="00000000" w:rsidR="00000000" w:rsidRPr="00000000">
        <w:rPr>
          <w:b w:val="1"/>
          <w:bCs w:val="1"/>
          <w:rtl w:val="0"/>
        </w:rPr>
        <w:t xml:space="preserve">Takeaways and teacher moves</w:t>
      </w:r>
      <w:r w:rsidDel="00000000" w:rsidR="00000000" w:rsidRPr="00000000">
        <w:rPr>
          <w:rtl w:val="0"/>
        </w:rPr>
      </w:r>
    </w:p>
    <w:tbl>
      <w:tblPr>
        <w:tblStyle w:val="Table2"/>
        <w:tblW w:w="10065.599999999999" w:type="dxa"/>
        <w:jc w:val="left"/>
        <w:tblInd w:w="-115.0" w:type="dxa"/>
        <w:tblLayout w:type="fixed"/>
        <w:tblLook w:val="0400"/>
      </w:tblPr>
      <w:tblGrid>
        <w:gridCol w:w="3355.2"/>
        <w:gridCol w:w="3355.2"/>
        <w:gridCol w:w="3355.2"/>
        <w:tblGridChange w:id="0">
          <w:tblGrid>
            <w:gridCol w:w="3355.2"/>
            <w:gridCol w:w="3355.2"/>
            <w:gridCol w:w="3355.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2E">
            <w:pPr>
              <w:rPr>
                <w:b w:val="1"/>
                <w:bCs w:val="1"/>
                <w:color w:val="ffffff"/>
              </w:rPr>
            </w:pPr>
            <w:r w:rsidDel="00000000" w:rsidR="00000000" w:rsidRPr="00000000">
              <w:rPr>
                <w:b w:val="1"/>
                <w:bCs w:val="1"/>
                <w:color w:val="ffffff"/>
                <w:rtl w:val="0"/>
              </w:rPr>
              <w:t xml:space="preserve">Principle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2F">
            <w:pPr>
              <w:rPr>
                <w:b w:val="1"/>
                <w:bCs w:val="1"/>
                <w:color w:val="ffffff"/>
              </w:rPr>
            </w:pPr>
            <w:r w:rsidDel="00000000" w:rsidR="00000000" w:rsidRPr="00000000">
              <w:rPr>
                <w:b w:val="1"/>
                <w:bCs w:val="1"/>
                <w:color w:val="ffffff"/>
                <w:rtl w:val="0"/>
              </w:rPr>
              <w:t xml:space="preserve">Why it matters</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30">
            <w:pPr>
              <w:rPr>
                <w:b w:val="1"/>
                <w:bCs w:val="1"/>
                <w:color w:val="ffffff"/>
              </w:rPr>
            </w:pPr>
            <w:r w:rsidDel="00000000" w:rsidR="00000000" w:rsidRPr="00000000">
              <w:rPr>
                <w:b w:val="1"/>
                <w:bCs w:val="1"/>
                <w:color w:val="ffffff"/>
                <w:rtl w:val="0"/>
              </w:rPr>
              <w:t xml:space="preserve">Classroom moves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1">
            <w:pPr>
              <w:spacing w:after="20" w:before="20" w:lineRule="auto"/>
              <w:rPr>
                <w:b w:val="1"/>
                <w:bCs w:val="1"/>
              </w:rPr>
            </w:pPr>
            <w:r w:rsidDel="00000000" w:rsidR="00000000" w:rsidRPr="00000000">
              <w:rPr>
                <w:b w:val="1"/>
                <w:bCs w:val="1"/>
                <w:rtl w:val="0"/>
              </w:rPr>
              <w:t xml:space="preserve">Attention is trainable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2">
            <w:pPr>
              <w:spacing w:after="20" w:before="20" w:lineRule="auto"/>
              <w:rPr/>
            </w:pPr>
            <w:r w:rsidDel="00000000" w:rsidR="00000000" w:rsidRPr="00000000">
              <w:rPr>
                <w:rtl w:val="0"/>
              </w:rPr>
              <w:t xml:space="preserve">Students’ brains adapt to fractured reading. Habits of deep attention must be rebuilt.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3">
            <w:pPr>
              <w:spacing w:after="20" w:before="20" w:lineRule="auto"/>
              <w:rPr/>
            </w:pPr>
            <w:r w:rsidDel="00000000" w:rsidR="00000000" w:rsidRPr="00000000">
              <w:rPr>
                <w:rtl w:val="0"/>
              </w:rPr>
              <w:t xml:space="preserve">Daily in-class silent and oral reading from hard copy using annotation tasks. Building up from shorter to longer duration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4">
            <w:pPr>
              <w:spacing w:after="20" w:before="20" w:lineRule="auto"/>
              <w:rPr>
                <w:b w:val="1"/>
                <w:bCs w:val="1"/>
              </w:rPr>
            </w:pPr>
            <w:r w:rsidDel="00000000" w:rsidR="00000000" w:rsidRPr="00000000">
              <w:rPr>
                <w:b w:val="1"/>
                <w:bCs w:val="1"/>
                <w:rtl w:val="0"/>
              </w:rPr>
              <w:t xml:space="preserve">Fluency enables comprehension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5">
            <w:pPr>
              <w:spacing w:after="20" w:before="20" w:lineRule="auto"/>
              <w:rPr/>
            </w:pPr>
            <w:r w:rsidDel="00000000" w:rsidR="00000000" w:rsidRPr="00000000">
              <w:rPr>
                <w:rtl w:val="0"/>
              </w:rPr>
              <w:t xml:space="preserve">Dysfluent readers overload working memory and lose meaning.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6">
            <w:pPr>
              <w:spacing w:after="20" w:before="20" w:lineRule="auto"/>
              <w:rPr/>
            </w:pPr>
            <w:r w:rsidDel="00000000" w:rsidR="00000000" w:rsidRPr="00000000">
              <w:rPr>
                <w:rtl w:val="0"/>
              </w:rPr>
              <w:t xml:space="preserve">Frequent oral reading with feedback; model prosody; assess fluency beyond early grades.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7">
            <w:pPr>
              <w:spacing w:after="20" w:before="20" w:lineRule="auto"/>
              <w:rPr>
                <w:b w:val="1"/>
                <w:bCs w:val="1"/>
              </w:rPr>
            </w:pPr>
            <w:r w:rsidDel="00000000" w:rsidR="00000000" w:rsidRPr="00000000">
              <w:rPr>
                <w:b w:val="1"/>
                <w:bCs w:val="1"/>
                <w:rtl w:val="0"/>
              </w:rPr>
              <w:t xml:space="preserve">Whole books build stamina and meaning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8">
            <w:pPr>
              <w:spacing w:after="20" w:before="20" w:lineRule="auto"/>
              <w:rPr/>
            </w:pPr>
            <w:r w:rsidDel="00000000" w:rsidR="00000000" w:rsidRPr="00000000">
              <w:rPr>
                <w:rtl w:val="0"/>
              </w:rPr>
              <w:t xml:space="preserve">Excerpts don’t develop long-form thinking or narrative comprehension.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9">
            <w:pPr>
              <w:spacing w:after="20" w:before="20" w:lineRule="auto"/>
              <w:rPr/>
            </w:pPr>
            <w:r w:rsidDel="00000000" w:rsidR="00000000" w:rsidRPr="00000000">
              <w:rPr>
                <w:rtl w:val="0"/>
              </w:rPr>
              <w:t xml:space="preserve">Assign novels… great ones; build page-count stamina incrementally across the year.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A">
            <w:pPr>
              <w:spacing w:after="20" w:before="20" w:lineRule="auto"/>
              <w:rPr>
                <w:b w:val="1"/>
                <w:bCs w:val="1"/>
              </w:rPr>
            </w:pPr>
            <w:r w:rsidDel="00000000" w:rsidR="00000000" w:rsidRPr="00000000">
              <w:rPr>
                <w:b w:val="1"/>
                <w:bCs w:val="1"/>
                <w:rtl w:val="0"/>
              </w:rPr>
              <w:t xml:space="preserve">Cultural capital fosters equity</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B">
            <w:pPr>
              <w:spacing w:after="20" w:before="20" w:lineRule="auto"/>
              <w:rPr/>
            </w:pPr>
            <w:r w:rsidDel="00000000" w:rsidR="00000000" w:rsidRPr="00000000">
              <w:rPr>
                <w:rtl w:val="0"/>
              </w:rPr>
              <w:t xml:space="preserve">Shared texts give students access to conversations and opportunities.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C">
            <w:pPr>
              <w:spacing w:after="20" w:before="20" w:lineRule="auto"/>
              <w:rPr/>
            </w:pPr>
            <w:r w:rsidDel="00000000" w:rsidR="00000000" w:rsidRPr="00000000">
              <w:rPr>
                <w:rtl w:val="0"/>
              </w:rPr>
              <w:t xml:space="preserve">Choose culturally significant works; connect references explicitly.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D">
            <w:pPr>
              <w:spacing w:after="20" w:before="20" w:lineRule="auto"/>
              <w:rPr>
                <w:b w:val="1"/>
                <w:bCs w:val="1"/>
              </w:rPr>
            </w:pPr>
            <w:r w:rsidDel="00000000" w:rsidR="00000000" w:rsidRPr="00000000">
              <w:rPr>
                <w:b w:val="1"/>
                <w:bCs w:val="1"/>
                <w:rtl w:val="0"/>
              </w:rPr>
              <w:t xml:space="preserve">Reading builds community</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E">
            <w:pPr>
              <w:spacing w:after="20" w:before="20" w:lineRule="auto"/>
              <w:rPr/>
            </w:pPr>
            <w:r w:rsidDel="00000000" w:rsidR="00000000" w:rsidRPr="00000000">
              <w:rPr>
                <w:rtl w:val="0"/>
              </w:rPr>
              <w:t xml:space="preserve">Collective experiences make reading “contagious.”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F">
            <w:pPr>
              <w:spacing w:after="20" w:before="20" w:lineRule="auto"/>
              <w:rPr/>
            </w:pPr>
            <w:r w:rsidDel="00000000" w:rsidR="00000000" w:rsidRPr="00000000">
              <w:rPr>
                <w:rtl w:val="0"/>
              </w:rPr>
              <w:t xml:space="preserve">Use shared read-alouds, expressive reading, group reactions.</w:t>
            </w:r>
          </w:p>
        </w:tc>
      </w:tr>
    </w:tbl>
    <w:p w:rsidR="00000000" w:rsidDel="00000000" w:rsidP="00000000" w:rsidRDefault="00000000" w:rsidRPr="00000000" w14:paraId="00000040">
      <w:pPr>
        <w:pStyle w:val="Heading2"/>
        <w:rPr>
          <w:b w:val="1"/>
          <w:bCs w:val="1"/>
        </w:rPr>
      </w:pPr>
      <w:bookmarkStart w:colFirst="0" w:colLast="0" w:name="_1blgwyqo69n6" w:id="4"/>
      <w:bookmarkEnd w:id="4"/>
      <w:r w:rsidDel="00000000" w:rsidR="00000000" w:rsidRPr="00000000">
        <w:rPr>
          <w:b w:val="1"/>
          <w:bCs w:val="1"/>
          <w:rtl w:val="0"/>
        </w:rPr>
        <w:t xml:space="preserve">Discussion questions</w:t>
      </w:r>
    </w:p>
    <w:p w:rsidR="00000000" w:rsidDel="00000000" w:rsidP="00000000" w:rsidRDefault="00000000" w:rsidRPr="00000000" w14:paraId="00000041">
      <w:pPr>
        <w:numPr>
          <w:ilvl w:val="0"/>
          <w:numId w:val="5"/>
        </w:numPr>
        <w:spacing w:after="200" w:lineRule="auto"/>
        <w:ind w:left="720" w:hanging="360"/>
        <w:rPr>
          <w:u w:val="none"/>
        </w:rPr>
      </w:pPr>
      <w:r w:rsidDel="00000000" w:rsidR="00000000" w:rsidRPr="00000000">
        <w:rPr>
          <w:rtl w:val="0"/>
        </w:rPr>
        <w:t xml:space="preserve">Why do dysfluent readers struggle to comprehend, even if they “know the words”?</w:t>
      </w:r>
    </w:p>
    <w:p w:rsidR="00000000" w:rsidDel="00000000" w:rsidP="00000000" w:rsidRDefault="00000000" w:rsidRPr="00000000" w14:paraId="00000042">
      <w:pPr>
        <w:numPr>
          <w:ilvl w:val="0"/>
          <w:numId w:val="5"/>
        </w:numPr>
        <w:spacing w:after="200" w:before="0" w:lineRule="auto"/>
        <w:ind w:left="720" w:hanging="360"/>
        <w:rPr>
          <w:u w:val="none"/>
        </w:rPr>
      </w:pPr>
      <w:r w:rsidDel="00000000" w:rsidR="00000000" w:rsidRPr="00000000">
        <w:rPr>
          <w:rtl w:val="0"/>
        </w:rPr>
        <w:t xml:space="preserve">How does reading fluently free up working memory for deeper comprehension?</w:t>
      </w:r>
    </w:p>
    <w:p w:rsidR="00000000" w:rsidDel="00000000" w:rsidP="00000000" w:rsidRDefault="00000000" w:rsidRPr="00000000" w14:paraId="00000043">
      <w:pPr>
        <w:numPr>
          <w:ilvl w:val="0"/>
          <w:numId w:val="5"/>
        </w:numPr>
        <w:spacing w:after="200" w:before="0" w:lineRule="auto"/>
        <w:ind w:left="720" w:hanging="360"/>
        <w:rPr>
          <w:u w:val="none"/>
        </w:rPr>
      </w:pPr>
      <w:r w:rsidDel="00000000" w:rsidR="00000000" w:rsidRPr="00000000">
        <w:rPr>
          <w:rtl w:val="0"/>
        </w:rPr>
        <w:t xml:space="preserve">What risks do schools run when they replace books with shorter, “engaging” media?</w:t>
      </w:r>
    </w:p>
    <w:p w:rsidR="00000000" w:rsidDel="00000000" w:rsidP="00000000" w:rsidRDefault="00000000" w:rsidRPr="00000000" w14:paraId="00000044">
      <w:pPr>
        <w:numPr>
          <w:ilvl w:val="0"/>
          <w:numId w:val="5"/>
        </w:numPr>
        <w:spacing w:after="200" w:before="0" w:lineRule="auto"/>
        <w:ind w:left="720" w:hanging="360"/>
        <w:rPr>
          <w:u w:val="none"/>
        </w:rPr>
      </w:pPr>
      <w:r w:rsidDel="00000000" w:rsidR="00000000" w:rsidRPr="00000000">
        <w:rPr>
          <w:rtl w:val="0"/>
        </w:rPr>
        <w:t xml:space="preserve">What are the benefits of whole-book reading that excerpts cannot provide?</w:t>
      </w:r>
    </w:p>
    <w:p w:rsidR="00000000" w:rsidDel="00000000" w:rsidP="00000000" w:rsidRDefault="00000000" w:rsidRPr="00000000" w14:paraId="00000045">
      <w:pPr>
        <w:numPr>
          <w:ilvl w:val="0"/>
          <w:numId w:val="5"/>
        </w:numPr>
        <w:spacing w:after="200" w:before="0" w:lineRule="auto"/>
        <w:ind w:left="720" w:hanging="360"/>
        <w:rPr>
          <w:u w:val="none"/>
        </w:rPr>
      </w:pPr>
      <w:r w:rsidDel="00000000" w:rsidR="00000000" w:rsidRPr="00000000">
        <w:rPr>
          <w:rtl w:val="0"/>
        </w:rPr>
        <w:t xml:space="preserve">Where in your curriculum could whole books strengthen cultural capital?</w:t>
      </w:r>
    </w:p>
    <w:p w:rsidR="00000000" w:rsidDel="00000000" w:rsidP="00000000" w:rsidRDefault="00000000" w:rsidRPr="00000000" w14:paraId="00000046">
      <w:pPr>
        <w:numPr>
          <w:ilvl w:val="0"/>
          <w:numId w:val="5"/>
        </w:numPr>
        <w:spacing w:after="200" w:before="0" w:lineRule="auto"/>
        <w:ind w:left="720" w:hanging="360"/>
        <w:rPr>
          <w:u w:val="none"/>
        </w:rPr>
      </w:pPr>
      <w:r w:rsidDel="00000000" w:rsidR="00000000" w:rsidRPr="00000000">
        <w:rPr>
          <w:rtl w:val="0"/>
        </w:rPr>
        <w:t xml:space="preserve">What structures could you use to build students’ stamina for long-form reading?</w:t>
      </w:r>
    </w:p>
    <w:p w:rsidR="00000000" w:rsidDel="00000000" w:rsidP="00000000" w:rsidRDefault="00000000" w:rsidRPr="00000000" w14:paraId="00000047">
      <w:pPr>
        <w:numPr>
          <w:ilvl w:val="0"/>
          <w:numId w:val="5"/>
        </w:numPr>
        <w:spacing w:after="200" w:lineRule="auto"/>
        <w:ind w:left="720" w:hanging="360"/>
        <w:rPr>
          <w:u w:val="none"/>
        </w:rPr>
      </w:pPr>
      <w:r w:rsidDel="00000000" w:rsidR="00000000" w:rsidRPr="00000000">
        <w:rPr>
          <w:rtl w:val="0"/>
        </w:rPr>
        <w:t xml:space="preserve">What is an example of a reading routine that builds fluency and stamina?</w:t>
      </w:r>
      <w:r w:rsidDel="00000000" w:rsidR="00000000" w:rsidRPr="00000000">
        <w:rPr>
          <w:rtl w:val="0"/>
        </w:rPr>
      </w:r>
    </w:p>
    <w:p w:rsidR="00000000" w:rsidDel="00000000" w:rsidP="00000000" w:rsidRDefault="00000000" w:rsidRPr="00000000" w14:paraId="00000048">
      <w:pPr>
        <w:pStyle w:val="Heading2"/>
        <w:rPr>
          <w:rFonts w:ascii="Arial" w:cs="Arial" w:eastAsia="Arial" w:hAnsi="Arial"/>
          <w:b w:val="1"/>
          <w:bCs w:val="1"/>
          <w:color w:val="434343"/>
        </w:rPr>
      </w:pPr>
      <w:bookmarkStart w:colFirst="0" w:colLast="0" w:name="_yzsbizi1qm10" w:id="5"/>
      <w:bookmarkEnd w:id="5"/>
      <w:r w:rsidDel="00000000" w:rsidR="00000000" w:rsidRPr="00000000">
        <w:rPr>
          <w:b w:val="1"/>
          <w:bCs w:val="1"/>
          <w:rtl w:val="0"/>
        </w:rPr>
        <w:t xml:space="preserve">Activities</w:t>
      </w:r>
      <w:r w:rsidDel="00000000" w:rsidR="00000000" w:rsidRPr="00000000">
        <w:rPr>
          <w:rtl w:val="0"/>
        </w:rPr>
      </w:r>
    </w:p>
    <w:tbl>
      <w:tblPr>
        <w:tblStyle w:val="Table3"/>
        <w:tblW w:w="10080.0" w:type="dxa"/>
        <w:jc w:val="left"/>
        <w:tblInd w:w="-115.0" w:type="dxa"/>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49">
            <w:pPr>
              <w:rPr>
                <w:b w:val="1"/>
                <w:bCs w:val="1"/>
                <w:color w:val="ffffff"/>
              </w:rPr>
            </w:pPr>
            <w:r w:rsidDel="00000000" w:rsidR="00000000" w:rsidRPr="00000000">
              <w:rPr>
                <w:b w:val="1"/>
                <w:bCs w:val="1"/>
                <w:color w:val="ffffff"/>
                <w:rtl w:val="0"/>
              </w:rPr>
              <w:t xml:space="preserve">Purpose</w:t>
            </w:r>
          </w:p>
        </w:tc>
        <w:tc>
          <w:tcPr>
            <w:tcBorders>
              <w:top w:color="000000" w:space="0" w:sz="8" w:val="single"/>
              <w:left w:color="000000" w:space="0" w:sz="8" w:val="single"/>
              <w:bottom w:color="000000" w:space="0" w:sz="8" w:val="single"/>
              <w:right w:color="000000" w:space="0" w:sz="8" w:val="single"/>
            </w:tcBorders>
            <w:shd w:fill="283278" w:val="clear"/>
            <w:tcMar>
              <w:top w:w="72.0" w:type="dxa"/>
              <w:left w:w="72.0" w:type="dxa"/>
              <w:bottom w:w="72.0" w:type="dxa"/>
              <w:right w:w="72.0" w:type="dxa"/>
            </w:tcMar>
          </w:tcPr>
          <w:p w:rsidR="00000000" w:rsidDel="00000000" w:rsidP="00000000" w:rsidRDefault="00000000" w:rsidRPr="00000000" w14:paraId="0000004A">
            <w:pPr>
              <w:rPr>
                <w:b w:val="1"/>
                <w:bCs w:val="1"/>
                <w:color w:val="ffffff"/>
              </w:rPr>
            </w:pPr>
            <w:r w:rsidDel="00000000" w:rsidR="00000000" w:rsidRPr="00000000">
              <w:rPr>
                <w:b w:val="1"/>
                <w:bCs w:val="1"/>
                <w:color w:val="ffffff"/>
                <w:rtl w:val="0"/>
              </w:rPr>
              <w:t xml:space="preserve">Activity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B">
            <w:pPr>
              <w:rPr>
                <w:b w:val="1"/>
                <w:bCs w:val="1"/>
              </w:rPr>
            </w:pPr>
            <w:r w:rsidDel="00000000" w:rsidR="00000000" w:rsidRPr="00000000">
              <w:rPr>
                <w:b w:val="1"/>
                <w:bCs w:val="1"/>
                <w:rtl w:val="0"/>
              </w:rPr>
              <w:t xml:space="preserve">Build fluency</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C">
            <w:pPr>
              <w:rPr/>
            </w:pPr>
            <w:r w:rsidDel="00000000" w:rsidR="00000000" w:rsidRPr="00000000">
              <w:rPr>
                <w:rtl w:val="0"/>
              </w:rPr>
              <w:t xml:space="preserve">Pair students to read aloud a passage, attending to punctuation and prosody. Swap roles.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D">
            <w:pPr>
              <w:rPr>
                <w:b w:val="1"/>
                <w:bCs w:val="1"/>
              </w:rPr>
            </w:pPr>
            <w:r w:rsidDel="00000000" w:rsidR="00000000" w:rsidRPr="00000000">
              <w:rPr>
                <w:b w:val="1"/>
                <w:bCs w:val="1"/>
                <w:rtl w:val="0"/>
              </w:rPr>
              <w:t xml:space="preserve">Strengthen stamina</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E">
            <w:pPr>
              <w:rPr/>
            </w:pPr>
            <w:r w:rsidDel="00000000" w:rsidR="00000000" w:rsidRPr="00000000">
              <w:rPr>
                <w:rtl w:val="0"/>
              </w:rPr>
              <w:t xml:space="preserve">Begin year with 10 pages/night novel assignments; gradually increase to 40–50 pages nightly.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4F">
            <w:pPr>
              <w:rPr>
                <w:b w:val="1"/>
                <w:bCs w:val="1"/>
              </w:rPr>
            </w:pPr>
            <w:r w:rsidDel="00000000" w:rsidR="00000000" w:rsidRPr="00000000">
              <w:rPr>
                <w:b w:val="1"/>
                <w:bCs w:val="1"/>
                <w:rtl w:val="0"/>
              </w:rPr>
              <w:t xml:space="preserve">Foster community</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0">
            <w:pPr>
              <w:rPr/>
            </w:pPr>
            <w:r w:rsidDel="00000000" w:rsidR="00000000" w:rsidRPr="00000000">
              <w:rPr>
                <w:rtl w:val="0"/>
              </w:rPr>
              <w:t xml:space="preserve">Conduct a whole-class gasp moment: stop after a cliffhanger, ask for predictions.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1">
            <w:pPr>
              <w:rPr>
                <w:b w:val="1"/>
                <w:bCs w:val="1"/>
              </w:rPr>
            </w:pPr>
            <w:r w:rsidDel="00000000" w:rsidR="00000000" w:rsidRPr="00000000">
              <w:rPr>
                <w:b w:val="1"/>
                <w:bCs w:val="1"/>
                <w:rtl w:val="0"/>
              </w:rPr>
              <w:t xml:space="preserve">Practice annotation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52">
            <w:pPr>
              <w:rPr/>
            </w:pPr>
            <w:r w:rsidDel="00000000" w:rsidR="00000000" w:rsidRPr="00000000">
              <w:rPr>
                <w:rtl w:val="0"/>
              </w:rPr>
              <w:t xml:space="preserve">Have students underline evidence and write 3 margin notes per chapter.</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spacing w:before="240" w:lineRule="auto"/>
        <w:rPr>
          <w:b w:val="1"/>
          <w:bCs w:val="1"/>
        </w:rPr>
      </w:pPr>
      <w:bookmarkStart w:colFirst="0" w:colLast="0" w:name="_84ev0o15oi82" w:id="6"/>
      <w:bookmarkEnd w:id="6"/>
      <w:r w:rsidDel="00000000" w:rsidR="00000000" w:rsidRPr="00000000">
        <w:rPr>
          <w:b w:val="1"/>
          <w:bCs w:val="1"/>
          <w:rtl w:val="0"/>
        </w:rPr>
        <w:t xml:space="preserve">Further reading</w:t>
      </w:r>
    </w:p>
    <w:p w:rsidR="00000000" w:rsidDel="00000000" w:rsidP="00000000" w:rsidRDefault="00000000" w:rsidRPr="00000000" w14:paraId="00000055">
      <w:pPr>
        <w:numPr>
          <w:ilvl w:val="0"/>
          <w:numId w:val="4"/>
        </w:numPr>
        <w:spacing w:after="200" w:lineRule="auto"/>
        <w:ind w:left="720" w:hanging="360"/>
        <w:rPr>
          <w:u w:val="none"/>
        </w:rPr>
      </w:pPr>
      <w:r w:rsidDel="00000000" w:rsidR="00000000" w:rsidRPr="00000000">
        <w:rPr>
          <w:rtl w:val="0"/>
        </w:rPr>
        <w:t xml:space="preserve">Mark Seidenberg, Reading at the Speed of Sight.</w:t>
      </w:r>
    </w:p>
    <w:p w:rsidR="00000000" w:rsidDel="00000000" w:rsidP="00000000" w:rsidRDefault="00000000" w:rsidRPr="00000000" w14:paraId="00000056">
      <w:pPr>
        <w:numPr>
          <w:ilvl w:val="0"/>
          <w:numId w:val="4"/>
        </w:numPr>
        <w:spacing w:after="200" w:lineRule="auto"/>
        <w:ind w:left="720" w:hanging="360"/>
        <w:rPr>
          <w:u w:val="none"/>
        </w:rPr>
      </w:pPr>
      <w:r w:rsidDel="00000000" w:rsidR="00000000" w:rsidRPr="00000000">
        <w:rPr>
          <w:rtl w:val="0"/>
        </w:rPr>
        <w:t xml:space="preserve">Maryanne Wolf, Reader Come Home.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ytone One">
    <w:embedRegular w:fontKey="{00000000-0000-0000-0000-000000000000}" r:id="rId1" w:subsetted="0"/>
  </w:font>
  <w:font w:name="Palanquin">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pPr>
    <w:r w:rsidDel="00000000" w:rsidR="00000000" w:rsidRPr="00000000">
      <w:rPr/>
      <w:drawing>
        <wp:inline distB="114300" distT="114300" distL="114300" distR="114300">
          <wp:extent cx="457200" cy="457200"/>
          <wp:effectExtent b="0" l="0" r="0" t="0"/>
          <wp:docPr id="1" name="image1.png"/>
          <a:graphic>
            <a:graphicData uri="http://schemas.openxmlformats.org/drawingml/2006/picture">
              <pic:pic>
                <pic:nvPicPr>
                  <pic:cNvPr id="0" name="image1.png"/>
                  <pic:cNvPicPr preferRelativeResize="0"/>
                </pic:nvPicPr>
                <pic:blipFill>
                  <a:blip r:embed="rId1"/>
                  <a:srcRect b="14551" l="14423" r="14743" t="10321"/>
                  <a:stretch>
                    <a:fillRect/>
                  </a:stretch>
                </pic:blipFill>
                <pic:spPr>
                  <a:xfrm>
                    <a:off x="0" y="0"/>
                    <a:ext cx="457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jc w:val="center"/>
      <w:rPr/>
    </w:pPr>
    <w:hyperlink r:id="rId2">
      <w:r w:rsidDel="00000000" w:rsidR="00000000" w:rsidRPr="00000000">
        <w:rPr>
          <w:rFonts w:ascii="Palanquin" w:cs="Palanquin" w:eastAsia="Palanquin" w:hAnsi="Palanquin"/>
          <w:color w:val="283278"/>
          <w:u w:val="single"/>
          <w:rtl w:val="0"/>
        </w:rPr>
        <w:t xml:space="preserve">knowledgematterscampaign.org</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left"/>
      <w:rPr>
        <w:rFonts w:ascii="Paytone One" w:cs="Paytone One" w:eastAsia="Paytone One" w:hAnsi="Paytone One"/>
        <w:color w:val="283278"/>
        <w:sz w:val="2"/>
        <w:szCs w:val="2"/>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283278"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pStyle w:val="Title"/>
            <w:jc w:val="center"/>
            <w:rPr>
              <w:rFonts w:ascii="Paytone One" w:cs="Paytone One" w:eastAsia="Paytone One" w:hAnsi="Paytone One"/>
              <w:color w:val="283278"/>
              <w:sz w:val="48"/>
              <w:szCs w:val="48"/>
            </w:rPr>
          </w:pPr>
          <w:bookmarkStart w:colFirst="0" w:colLast="0" w:name="_qpzjyhweaq3q" w:id="7"/>
          <w:bookmarkEnd w:id="7"/>
          <w:r w:rsidDel="00000000" w:rsidR="00000000" w:rsidRPr="00000000">
            <w:rPr>
              <w:rFonts w:ascii="Paytone One" w:cs="Paytone One" w:eastAsia="Paytone One" w:hAnsi="Paytone One"/>
              <w:color w:val="283278"/>
              <w:sz w:val="48"/>
              <w:szCs w:val="48"/>
              <w:rtl w:val="0"/>
            </w:rPr>
            <w:t xml:space="preserve">Knowledge Matters Campaign</w:t>
          </w:r>
        </w:p>
        <w:p w:rsidR="00000000" w:rsidDel="00000000" w:rsidP="00000000" w:rsidRDefault="00000000" w:rsidRPr="00000000" w14:paraId="0000005E">
          <w:pPr>
            <w:jc w:val="center"/>
            <w:rPr>
              <w:rFonts w:ascii="Paytone One" w:cs="Paytone One" w:eastAsia="Paytone One" w:hAnsi="Paytone One"/>
              <w:color w:val="283278"/>
              <w:sz w:val="10"/>
              <w:szCs w:val="10"/>
            </w:rPr>
          </w:pPr>
          <w:r w:rsidDel="00000000" w:rsidR="00000000" w:rsidRPr="00000000">
            <w:rPr>
              <w:rtl w:val="0"/>
            </w:rPr>
          </w:r>
        </w:p>
      </w:tc>
    </w:tr>
  </w:tbl>
  <w:p w:rsidR="00000000" w:rsidDel="00000000" w:rsidP="00000000" w:rsidRDefault="00000000" w:rsidRPr="00000000" w14:paraId="0000005F">
    <w:pPr>
      <w:jc w:val="left"/>
      <w:rPr>
        <w:rFonts w:ascii="Paytone One" w:cs="Paytone One" w:eastAsia="Paytone One" w:hAnsi="Paytone One"/>
        <w:color w:val="283278"/>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alanquin" w:cs="Palanquin" w:eastAsia="Palanquin" w:hAnsi="Palanquin"/>
      <w:color w:val="283278"/>
      <w:sz w:val="40"/>
      <w:szCs w:val="40"/>
    </w:rPr>
  </w:style>
  <w:style w:type="paragraph" w:styleId="Heading2">
    <w:name w:val="heading 2"/>
    <w:basedOn w:val="Normal"/>
    <w:next w:val="Normal"/>
    <w:pPr>
      <w:keepNext w:val="1"/>
      <w:keepLines w:val="1"/>
      <w:spacing w:after="120" w:before="360" w:lineRule="auto"/>
    </w:pPr>
    <w:rPr>
      <w:rFonts w:ascii="Palanquin" w:cs="Palanquin" w:eastAsia="Palanquin" w:hAnsi="Palanquin"/>
      <w:color w:val="283278"/>
      <w:sz w:val="32"/>
      <w:szCs w:val="32"/>
    </w:rPr>
  </w:style>
  <w:style w:type="paragraph" w:styleId="Heading3">
    <w:name w:val="heading 3"/>
    <w:basedOn w:val="Normal"/>
    <w:next w:val="Normal"/>
    <w:pPr>
      <w:keepNext w:val="1"/>
      <w:keepLines w:val="1"/>
      <w:spacing w:after="80" w:before="320" w:lineRule="auto"/>
    </w:pPr>
    <w:rPr>
      <w:rFonts w:ascii="Palanquin" w:cs="Palanquin" w:eastAsia="Palanquin" w:hAnsi="Palanquin"/>
      <w:color w:val="283278"/>
      <w:sz w:val="28"/>
      <w:szCs w:val="28"/>
    </w:rPr>
  </w:style>
  <w:style w:type="paragraph" w:styleId="Heading4">
    <w:name w:val="heading 4"/>
    <w:basedOn w:val="Normal"/>
    <w:next w:val="Normal"/>
    <w:pPr>
      <w:keepNext w:val="1"/>
      <w:keepLines w:val="1"/>
      <w:spacing w:after="80" w:before="280" w:lineRule="auto"/>
    </w:pPr>
    <w:rPr>
      <w:rFonts w:ascii="Palanquin" w:cs="Palanquin" w:eastAsia="Palanquin" w:hAnsi="Palanquin"/>
      <w:color w:val="283278"/>
      <w:sz w:val="24"/>
      <w:szCs w:val="24"/>
    </w:rPr>
  </w:style>
  <w:style w:type="paragraph" w:styleId="Heading5">
    <w:name w:val="heading 5"/>
    <w:basedOn w:val="Normal"/>
    <w:next w:val="Normal"/>
    <w:pPr>
      <w:keepNext w:val="1"/>
      <w:keepLines w:val="1"/>
      <w:spacing w:after="80" w:before="240" w:lineRule="auto"/>
    </w:pPr>
    <w:rPr>
      <w:rFonts w:ascii="Palanquin" w:cs="Palanquin" w:eastAsia="Palanquin" w:hAnsi="Palanquin"/>
      <w:color w:val="283278"/>
    </w:rPr>
  </w:style>
  <w:style w:type="paragraph" w:styleId="Heading6">
    <w:name w:val="heading 6"/>
    <w:basedOn w:val="Normal"/>
    <w:next w:val="Normal"/>
    <w:pPr>
      <w:keepNext w:val="1"/>
      <w:keepLines w:val="1"/>
      <w:spacing w:after="80" w:before="240" w:lineRule="auto"/>
    </w:pPr>
    <w:rPr>
      <w:rFonts w:ascii="Palanquin" w:cs="Palanquin" w:eastAsia="Palanquin" w:hAnsi="Palanquin"/>
      <w:i w:val="1"/>
      <w:iCs w:val="1"/>
      <w:color w:val="283278"/>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ytoneOne-regular.ttf"/><Relationship Id="rId2" Type="http://schemas.openxmlformats.org/officeDocument/2006/relationships/font" Target="fonts/Palanquin-regular.ttf"/><Relationship Id="rId3" Type="http://schemas.openxmlformats.org/officeDocument/2006/relationships/font" Target="fonts/Palanquin-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knowledgematterscampa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