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before="0" w:line="227.99999999999997" w:lineRule="auto"/>
        <w:jc w:val="center"/>
        <w:rPr>
          <w:b w:val="1"/>
          <w:bCs w:val="1"/>
        </w:rPr>
      </w:pPr>
      <w:bookmarkStart w:colFirst="0" w:colLast="0" w:name="_sgfuuqy553ov" w:id="0"/>
      <w:bookmarkEnd w:id="0"/>
      <w:r w:rsidDel="00000000" w:rsidR="00000000" w:rsidRPr="00000000">
        <w:rPr>
          <w:b w:val="1"/>
          <w:bCs w:val="1"/>
          <w:rtl w:val="0"/>
        </w:rPr>
        <w:t xml:space="preserve">Literacy and the Science of Learning Podcast </w:t>
      </w:r>
    </w:p>
    <w:p w:rsidR="00000000" w:rsidDel="00000000" w:rsidP="00000000" w:rsidRDefault="00000000" w:rsidRPr="00000000" w14:paraId="00000002">
      <w:pPr>
        <w:pStyle w:val="Heading1"/>
        <w:spacing w:after="0" w:before="0" w:line="227.99999999999997" w:lineRule="auto"/>
        <w:jc w:val="center"/>
        <w:rPr/>
      </w:pPr>
      <w:bookmarkStart w:colFirst="0" w:colLast="0" w:name="_qmimdonlvz7v" w:id="1"/>
      <w:bookmarkEnd w:id="1"/>
      <w:r w:rsidDel="00000000" w:rsidR="00000000" w:rsidRPr="00000000">
        <w:rPr>
          <w:rtl w:val="0"/>
        </w:rPr>
        <w:t xml:space="preserve">Study Guide, Episodes 5-6</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Writing is not only a valuable skill. It’s also a potentially powerful lever for boosting reading comprehension, learning—and even thinking.</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Findings from cognitive science explain why. When students write, they can increase their ability to retain information and retrieve it in the future when they need it. They can</w:t>
      </w:r>
    </w:p>
    <w:p w:rsidR="00000000" w:rsidDel="00000000" w:rsidP="00000000" w:rsidRDefault="00000000" w:rsidRPr="00000000" w14:paraId="00000007">
      <w:pPr>
        <w:rPr/>
      </w:pPr>
      <w:r w:rsidDel="00000000" w:rsidR="00000000" w:rsidRPr="00000000">
        <w:rPr>
          <w:rtl w:val="0"/>
        </w:rPr>
        <w:t xml:space="preserve">also deepen their understanding and build their analytical abilities by elaborating on that information. In addition, they can learn how to use and understand the complex sentence structure of written language, boosting their reading comprehension.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But cognitive science also tells us that writing is hard—so hard that many students don’t get its cognitive benefits. The key to unlocking the potential of writing is to modulate the cognitive load it imposes on working memory. One way to modulate cognitive load is to ensure that students have adequate information about a topic before they’re asked to write about it. Another is to provide explicit instruction and lots of guided practice in writing strategies, including constructing sentences and creating outlines, before students are expected to engage in them independently. It makes sense to embed writing instruction across all subjects, both to provide students with the writing practice they need and also to boost learning throughout the curriculum.</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While it’s helpful for teachers to have some understanding of cognitive science, they don’t need to be experts in the field to provide their students with the benefits of science-informed instruction. Like the educators in Monroe, Louisiana, a high-poverty school district, they may just be looking for a way to enable their students to express themselves coherently in writing. But if they have a content-rich curriculum and they embed an explicit method of writing instruction in that content, they may see, as the teachers in Monroe have, something “amazing” start to happen. “We realized,” one teacher said, “that teaching them to write clearly was actually teaching them to think clearly.”</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When students learn to write in more complex ways, they can not only understand more complex text but also think in more complex ways. By drawing on principles supported by cognitive science, effective writing instruction can change not only students’ academic outcomes but also their life trajectories.</w:t>
      </w:r>
      <w:r w:rsidDel="00000000" w:rsidR="00000000" w:rsidRPr="00000000">
        <w:rPr>
          <w:rtl w:val="0"/>
        </w:rPr>
      </w:r>
    </w:p>
    <w:p w:rsidR="00000000" w:rsidDel="00000000" w:rsidP="00000000" w:rsidRDefault="00000000" w:rsidRPr="00000000" w14:paraId="0000000E">
      <w:pPr>
        <w:pStyle w:val="Heading2"/>
        <w:rPr>
          <w:b w:val="1"/>
          <w:bCs w:val="1"/>
        </w:rPr>
      </w:pPr>
      <w:bookmarkStart w:colFirst="0" w:colLast="0" w:name="_ch1gyr529njt" w:id="2"/>
      <w:bookmarkEnd w:id="2"/>
      <w:r w:rsidDel="00000000" w:rsidR="00000000" w:rsidRPr="00000000">
        <w:rPr>
          <w:b w:val="1"/>
          <w:bCs w:val="1"/>
          <w:rtl w:val="0"/>
        </w:rPr>
        <w:t xml:space="preserve">Big-picture goals</w:t>
      </w:r>
    </w:p>
    <w:p w:rsidR="00000000" w:rsidDel="00000000" w:rsidP="00000000" w:rsidRDefault="00000000" w:rsidRPr="00000000" w14:paraId="0000000F">
      <w:pPr>
        <w:numPr>
          <w:ilvl w:val="0"/>
          <w:numId w:val="6"/>
        </w:numPr>
        <w:spacing w:after="200" w:lineRule="auto"/>
        <w:ind w:left="360"/>
      </w:pPr>
      <w:r w:rsidDel="00000000" w:rsidR="00000000" w:rsidRPr="00000000">
        <w:rPr>
          <w:rtl w:val="0"/>
        </w:rPr>
        <w:t xml:space="preserve">Explain why writing is not just a product, but also a process that supports learning.</w:t>
      </w:r>
    </w:p>
    <w:p w:rsidR="00000000" w:rsidDel="00000000" w:rsidP="00000000" w:rsidRDefault="00000000" w:rsidRPr="00000000" w14:paraId="00000010">
      <w:pPr>
        <w:numPr>
          <w:ilvl w:val="0"/>
          <w:numId w:val="6"/>
        </w:numPr>
        <w:spacing w:after="200" w:lineRule="auto"/>
        <w:ind w:left="360"/>
      </w:pPr>
      <w:r w:rsidDel="00000000" w:rsidR="00000000" w:rsidRPr="00000000">
        <w:rPr>
          <w:rtl w:val="0"/>
        </w:rPr>
        <w:t xml:space="preserve">Describe how writing can aid memory and comprehension through retrieval practice and elaboration.</w:t>
      </w:r>
    </w:p>
    <w:p w:rsidR="00000000" w:rsidDel="00000000" w:rsidP="00000000" w:rsidRDefault="00000000" w:rsidRPr="00000000" w14:paraId="00000011">
      <w:pPr>
        <w:numPr>
          <w:ilvl w:val="0"/>
          <w:numId w:val="6"/>
        </w:numPr>
        <w:spacing w:after="200" w:lineRule="auto"/>
        <w:ind w:left="360"/>
      </w:pPr>
      <w:r w:rsidDel="00000000" w:rsidR="00000000" w:rsidRPr="00000000">
        <w:rPr>
          <w:rtl w:val="0"/>
        </w:rPr>
        <w:t xml:space="preserve">Explore how too much cognitive load can interfere with writing’s potential benefits and identify strategies to reduce it.</w:t>
      </w:r>
    </w:p>
    <w:p w:rsidR="00000000" w:rsidDel="00000000" w:rsidP="00000000" w:rsidRDefault="00000000" w:rsidRPr="00000000" w14:paraId="00000012">
      <w:pPr>
        <w:numPr>
          <w:ilvl w:val="0"/>
          <w:numId w:val="6"/>
        </w:numPr>
        <w:spacing w:after="200" w:lineRule="auto"/>
        <w:ind w:left="360"/>
      </w:pPr>
      <w:r w:rsidDel="00000000" w:rsidR="00000000" w:rsidRPr="00000000">
        <w:rPr>
          <w:rtl w:val="0"/>
        </w:rPr>
        <w:t xml:space="preserve">Understand how explicit, content-embedded writing instruction can improve student thinking and promote equity.</w:t>
      </w:r>
      <w:r w:rsidDel="00000000" w:rsidR="00000000" w:rsidRPr="00000000">
        <w:rPr>
          <w:rtl w:val="0"/>
        </w:rPr>
      </w:r>
    </w:p>
    <w:p w:rsidR="00000000" w:rsidDel="00000000" w:rsidP="00000000" w:rsidRDefault="00000000" w:rsidRPr="00000000" w14:paraId="00000013">
      <w:pPr>
        <w:pStyle w:val="Heading2"/>
        <w:rPr>
          <w:rFonts w:ascii="Arial" w:cs="Arial" w:eastAsia="Arial" w:hAnsi="Arial"/>
          <w:color w:val="434343"/>
        </w:rPr>
      </w:pPr>
      <w:bookmarkStart w:colFirst="0" w:colLast="0" w:name="_zo6pndivglt" w:id="3"/>
      <w:bookmarkEnd w:id="3"/>
      <w:r w:rsidDel="00000000" w:rsidR="00000000" w:rsidRPr="00000000">
        <w:rPr>
          <w:b w:val="1"/>
          <w:bCs w:val="1"/>
          <w:rtl w:val="0"/>
        </w:rPr>
        <w:t xml:space="preserve">Episode snapshots</w:t>
      </w:r>
      <w:r w:rsidDel="00000000" w:rsidR="00000000" w:rsidRPr="00000000">
        <w:rPr>
          <w:rtl w:val="0"/>
        </w:rPr>
      </w:r>
    </w:p>
    <w:tbl>
      <w:tblPr>
        <w:tblStyle w:val="Table1"/>
        <w:tblW w:w="10080.0" w:type="dxa"/>
        <w:jc w:val="left"/>
        <w:tblInd w:w="-115.0" w:type="dxa"/>
        <w:tblLayout w:type="fixed"/>
        <w:tblLook w:val="0400"/>
      </w:tblPr>
      <w:tblGrid>
        <w:gridCol w:w="2520"/>
        <w:gridCol w:w="2520"/>
        <w:gridCol w:w="2520"/>
        <w:gridCol w:w="2520"/>
        <w:tblGridChange w:id="0">
          <w:tblGrid>
            <w:gridCol w:w="2520"/>
            <w:gridCol w:w="2520"/>
            <w:gridCol w:w="2520"/>
            <w:gridCol w:w="252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283278" w:val="clear"/>
            <w:tcMar>
              <w:top w:w="72.0" w:type="dxa"/>
              <w:left w:w="72.0" w:type="dxa"/>
              <w:bottom w:w="72.0" w:type="dxa"/>
              <w:right w:w="72.0" w:type="dxa"/>
            </w:tcMar>
          </w:tcPr>
          <w:p w:rsidR="00000000" w:rsidDel="00000000" w:rsidP="00000000" w:rsidRDefault="00000000" w:rsidRPr="00000000" w14:paraId="00000014">
            <w:pPr>
              <w:rPr>
                <w:b w:val="1"/>
                <w:bCs w:val="1"/>
                <w:color w:val="ffffff"/>
              </w:rPr>
            </w:pPr>
            <w:r w:rsidDel="00000000" w:rsidR="00000000" w:rsidRPr="00000000">
              <w:rPr>
                <w:b w:val="1"/>
                <w:bCs w:val="1"/>
                <w:color w:val="ffffff"/>
                <w:rtl w:val="0"/>
              </w:rPr>
              <w:t xml:space="preserve">Episode</w:t>
            </w:r>
          </w:p>
        </w:tc>
        <w:tc>
          <w:tcPr>
            <w:tcBorders>
              <w:top w:color="000000" w:space="0" w:sz="8" w:val="single"/>
              <w:left w:color="000000" w:space="0" w:sz="8" w:val="single"/>
              <w:bottom w:color="000000" w:space="0" w:sz="8" w:val="single"/>
              <w:right w:color="000000" w:space="0" w:sz="8" w:val="single"/>
            </w:tcBorders>
            <w:shd w:fill="283278" w:val="clear"/>
            <w:tcMar>
              <w:top w:w="72.0" w:type="dxa"/>
              <w:left w:w="72.0" w:type="dxa"/>
              <w:bottom w:w="72.0" w:type="dxa"/>
              <w:right w:w="72.0" w:type="dxa"/>
            </w:tcMar>
          </w:tcPr>
          <w:p w:rsidR="00000000" w:rsidDel="00000000" w:rsidP="00000000" w:rsidRDefault="00000000" w:rsidRPr="00000000" w14:paraId="00000015">
            <w:pPr>
              <w:rPr>
                <w:b w:val="1"/>
                <w:bCs w:val="1"/>
                <w:color w:val="ffffff"/>
              </w:rPr>
            </w:pPr>
            <w:r w:rsidDel="00000000" w:rsidR="00000000" w:rsidRPr="00000000">
              <w:rPr>
                <w:b w:val="1"/>
                <w:bCs w:val="1"/>
                <w:color w:val="ffffff"/>
                <w:rtl w:val="0"/>
              </w:rPr>
              <w:t xml:space="preserve">Core message</w:t>
            </w:r>
          </w:p>
        </w:tc>
        <w:tc>
          <w:tcPr>
            <w:tcBorders>
              <w:top w:color="000000" w:space="0" w:sz="8" w:val="single"/>
              <w:left w:color="000000" w:space="0" w:sz="8" w:val="single"/>
              <w:bottom w:color="000000" w:space="0" w:sz="8" w:val="single"/>
              <w:right w:color="000000" w:space="0" w:sz="8" w:val="single"/>
            </w:tcBorders>
            <w:shd w:fill="283278" w:val="clear"/>
            <w:tcMar>
              <w:top w:w="72.0" w:type="dxa"/>
              <w:left w:w="72.0" w:type="dxa"/>
              <w:bottom w:w="72.0" w:type="dxa"/>
              <w:right w:w="72.0" w:type="dxa"/>
            </w:tcMar>
          </w:tcPr>
          <w:p w:rsidR="00000000" w:rsidDel="00000000" w:rsidP="00000000" w:rsidRDefault="00000000" w:rsidRPr="00000000" w14:paraId="00000016">
            <w:pPr>
              <w:rPr>
                <w:b w:val="1"/>
                <w:bCs w:val="1"/>
                <w:color w:val="ffffff"/>
              </w:rPr>
            </w:pPr>
            <w:r w:rsidDel="00000000" w:rsidR="00000000" w:rsidRPr="00000000">
              <w:rPr>
                <w:b w:val="1"/>
                <w:bCs w:val="1"/>
                <w:color w:val="ffffff"/>
                <w:rtl w:val="0"/>
              </w:rPr>
              <w:t xml:space="preserve">Must-know concepts</w:t>
            </w:r>
          </w:p>
        </w:tc>
        <w:tc>
          <w:tcPr>
            <w:tcBorders>
              <w:top w:color="000000" w:space="0" w:sz="8" w:val="single"/>
              <w:left w:color="000000" w:space="0" w:sz="8" w:val="single"/>
              <w:bottom w:color="000000" w:space="0" w:sz="8" w:val="single"/>
              <w:right w:color="000000" w:space="0" w:sz="8" w:val="single"/>
            </w:tcBorders>
            <w:shd w:fill="283278" w:val="clear"/>
            <w:tcMar>
              <w:top w:w="72.0" w:type="dxa"/>
              <w:left w:w="72.0" w:type="dxa"/>
              <w:bottom w:w="72.0" w:type="dxa"/>
              <w:right w:w="72.0" w:type="dxa"/>
            </w:tcMar>
          </w:tcPr>
          <w:p w:rsidR="00000000" w:rsidDel="00000000" w:rsidP="00000000" w:rsidRDefault="00000000" w:rsidRPr="00000000" w14:paraId="00000017">
            <w:pPr>
              <w:rPr>
                <w:b w:val="1"/>
                <w:bCs w:val="1"/>
                <w:color w:val="ffffff"/>
              </w:rPr>
            </w:pPr>
            <w:r w:rsidDel="00000000" w:rsidR="00000000" w:rsidRPr="00000000">
              <w:rPr>
                <w:b w:val="1"/>
                <w:bCs w:val="1"/>
                <w:color w:val="ffffff"/>
                <w:rtl w:val="0"/>
              </w:rPr>
              <w:t xml:space="preserve">Illustrative examples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vAlign w:val="center"/>
          </w:tcPr>
          <w:p w:rsidR="00000000" w:rsidDel="00000000" w:rsidP="00000000" w:rsidRDefault="00000000" w:rsidRPr="00000000" w14:paraId="00000018">
            <w:pPr>
              <w:spacing w:line="240" w:lineRule="auto"/>
              <w:rPr>
                <w:b w:val="1"/>
                <w:bCs w:val="1"/>
              </w:rPr>
            </w:pPr>
            <w:r w:rsidDel="00000000" w:rsidR="00000000" w:rsidRPr="00000000">
              <w:rPr>
                <w:b w:val="1"/>
                <w:bCs w:val="1"/>
                <w:rtl w:val="0"/>
              </w:rPr>
              <w:t xml:space="preserve">5 – “Memory and the writing effect”</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19">
            <w:pPr>
              <w:rPr/>
            </w:pPr>
            <w:r w:rsidDel="00000000" w:rsidR="00000000" w:rsidRPr="00000000">
              <w:rPr>
                <w:rtl w:val="0"/>
              </w:rPr>
              <w:t xml:space="preserve">Writing supports long-term learning via retrieval practice, elaboration, and exposure to complex syntax. But cognitive load must be managed.</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1A">
            <w:pPr>
              <w:numPr>
                <w:ilvl w:val="0"/>
                <w:numId w:val="2"/>
              </w:numPr>
              <w:ind w:left="360" w:hanging="360"/>
            </w:pPr>
            <w:r w:rsidDel="00000000" w:rsidR="00000000" w:rsidRPr="00000000">
              <w:rPr>
                <w:rtl w:val="0"/>
              </w:rPr>
              <w:t xml:space="preserve">Limits of working vs long-term memory</w:t>
            </w:r>
          </w:p>
          <w:p w:rsidR="00000000" w:rsidDel="00000000" w:rsidP="00000000" w:rsidRDefault="00000000" w:rsidRPr="00000000" w14:paraId="0000001B">
            <w:pPr>
              <w:numPr>
                <w:ilvl w:val="0"/>
                <w:numId w:val="2"/>
              </w:numPr>
              <w:ind w:left="360" w:hanging="360"/>
            </w:pPr>
            <w:r w:rsidDel="00000000" w:rsidR="00000000" w:rsidRPr="00000000">
              <w:rPr>
                <w:rtl w:val="0"/>
              </w:rPr>
              <w:t xml:space="preserve">Retrieval practice</w:t>
            </w:r>
          </w:p>
          <w:p w:rsidR="00000000" w:rsidDel="00000000" w:rsidP="00000000" w:rsidRDefault="00000000" w:rsidRPr="00000000" w14:paraId="0000001C">
            <w:pPr>
              <w:numPr>
                <w:ilvl w:val="0"/>
                <w:numId w:val="2"/>
              </w:numPr>
              <w:ind w:left="360" w:hanging="360"/>
            </w:pPr>
            <w:r w:rsidDel="00000000" w:rsidR="00000000" w:rsidRPr="00000000">
              <w:rPr>
                <w:rtl w:val="0"/>
              </w:rPr>
              <w:t xml:space="preserve">Elaboration</w:t>
            </w:r>
          </w:p>
          <w:p w:rsidR="00000000" w:rsidDel="00000000" w:rsidP="00000000" w:rsidRDefault="00000000" w:rsidRPr="00000000" w14:paraId="0000001D">
            <w:pPr>
              <w:numPr>
                <w:ilvl w:val="0"/>
                <w:numId w:val="2"/>
              </w:numPr>
              <w:ind w:left="360" w:hanging="360"/>
            </w:pPr>
            <w:r w:rsidDel="00000000" w:rsidR="00000000" w:rsidRPr="00000000">
              <w:rPr>
                <w:rtl w:val="0"/>
              </w:rPr>
              <w:t xml:space="preserve">Syntax and comprehension</w:t>
            </w:r>
          </w:p>
          <w:p w:rsidR="00000000" w:rsidDel="00000000" w:rsidP="00000000" w:rsidRDefault="00000000" w:rsidRPr="00000000" w14:paraId="0000001E">
            <w:pPr>
              <w:numPr>
                <w:ilvl w:val="0"/>
                <w:numId w:val="2"/>
              </w:numPr>
              <w:ind w:left="360" w:hanging="360"/>
            </w:pPr>
            <w:r w:rsidDel="00000000" w:rsidR="00000000" w:rsidRPr="00000000">
              <w:rPr>
                <w:rtl w:val="0"/>
              </w:rPr>
              <w:t xml:space="preserve">Deliberate practice and writing strategies</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1F">
            <w:pPr>
              <w:numPr>
                <w:ilvl w:val="0"/>
                <w:numId w:val="2"/>
              </w:numPr>
              <w:ind w:left="360" w:hanging="360"/>
            </w:pPr>
            <w:r w:rsidDel="00000000" w:rsidR="00000000" w:rsidRPr="00000000">
              <w:rPr>
                <w:rtl w:val="0"/>
              </w:rPr>
              <w:t xml:space="preserve">Karpicke’s free-recall study</w:t>
            </w:r>
          </w:p>
          <w:p w:rsidR="00000000" w:rsidDel="00000000" w:rsidP="00000000" w:rsidRDefault="00000000" w:rsidRPr="00000000" w14:paraId="00000020">
            <w:pPr>
              <w:numPr>
                <w:ilvl w:val="0"/>
                <w:numId w:val="2"/>
              </w:numPr>
              <w:ind w:left="360" w:hanging="360"/>
            </w:pPr>
            <w:r w:rsidDel="00000000" w:rsidR="00000000" w:rsidRPr="00000000">
              <w:rPr>
                <w:rtl w:val="0"/>
              </w:rPr>
              <w:t xml:space="preserve">Write-to-learn studies show positive effects on average, but almost one fifth show negative effects</w:t>
            </w:r>
          </w:p>
          <w:p w:rsidR="00000000" w:rsidDel="00000000" w:rsidP="00000000" w:rsidRDefault="00000000" w:rsidRPr="00000000" w14:paraId="00000021">
            <w:pPr>
              <w:numPr>
                <w:ilvl w:val="0"/>
                <w:numId w:val="2"/>
              </w:numPr>
              <w:ind w:left="360" w:hanging="360"/>
            </w:pPr>
            <w:r w:rsidDel="00000000" w:rsidR="00000000" w:rsidRPr="00000000">
              <w:rPr>
                <w:rtl w:val="0"/>
              </w:rPr>
              <w:t xml:space="preserve">If cognitive load is too heavy, writing may not promote learning</w:t>
            </w:r>
          </w:p>
          <w:p w:rsidR="00000000" w:rsidDel="00000000" w:rsidP="00000000" w:rsidRDefault="00000000" w:rsidRPr="00000000" w14:paraId="00000022">
            <w:pPr>
              <w:numPr>
                <w:ilvl w:val="0"/>
                <w:numId w:val="2"/>
              </w:numPr>
              <w:ind w:left="360" w:hanging="360"/>
            </w:pPr>
            <w:r w:rsidDel="00000000" w:rsidR="00000000" w:rsidRPr="00000000">
              <w:rPr>
                <w:rtl w:val="0"/>
              </w:rPr>
              <w:t xml:space="preserve">Teaching sentence construction and outlining modulates cognitive load</w:t>
            </w:r>
          </w:p>
          <w:p w:rsidR="00000000" w:rsidDel="00000000" w:rsidP="00000000" w:rsidRDefault="00000000" w:rsidRPr="00000000" w14:paraId="00000023">
            <w:pPr>
              <w:ind w:left="720" w:firstLine="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vAlign w:val="center"/>
          </w:tcPr>
          <w:p w:rsidR="00000000" w:rsidDel="00000000" w:rsidP="00000000" w:rsidRDefault="00000000" w:rsidRPr="00000000" w14:paraId="00000024">
            <w:pPr>
              <w:spacing w:line="240" w:lineRule="auto"/>
              <w:rPr>
                <w:b w:val="1"/>
                <w:bCs w:val="1"/>
              </w:rPr>
            </w:pPr>
            <w:r w:rsidDel="00000000" w:rsidR="00000000" w:rsidRPr="00000000">
              <w:rPr>
                <w:b w:val="1"/>
                <w:bCs w:val="1"/>
                <w:rtl w:val="0"/>
              </w:rPr>
              <w:t xml:space="preserve">6 – “How writing promotes clear thinking”</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25">
            <w:pPr>
              <w:rPr/>
            </w:pPr>
            <w:r w:rsidDel="00000000" w:rsidR="00000000" w:rsidRPr="00000000">
              <w:rPr>
                <w:rtl w:val="0"/>
              </w:rPr>
              <w:t xml:space="preserve">A method of explicit writing instruction aligned with cognitive science (such as TWR) boosts student writing and thinking across all subjects.</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26">
            <w:pPr>
              <w:numPr>
                <w:ilvl w:val="0"/>
                <w:numId w:val="1"/>
              </w:numPr>
              <w:ind w:left="360" w:hanging="360"/>
            </w:pPr>
            <w:r w:rsidDel="00000000" w:rsidR="00000000" w:rsidRPr="00000000">
              <w:rPr>
                <w:rtl w:val="0"/>
              </w:rPr>
              <w:t xml:space="preserve">Embedding writing in all subject areas</w:t>
            </w:r>
          </w:p>
          <w:p w:rsidR="00000000" w:rsidDel="00000000" w:rsidP="00000000" w:rsidRDefault="00000000" w:rsidRPr="00000000" w14:paraId="00000027">
            <w:pPr>
              <w:numPr>
                <w:ilvl w:val="0"/>
                <w:numId w:val="1"/>
              </w:numPr>
              <w:ind w:left="360" w:hanging="360"/>
            </w:pPr>
            <w:r w:rsidDel="00000000" w:rsidR="00000000" w:rsidRPr="00000000">
              <w:rPr>
                <w:rtl w:val="0"/>
              </w:rPr>
              <w:t xml:space="preserve">Starting at the sentence level</w:t>
            </w:r>
          </w:p>
          <w:p w:rsidR="00000000" w:rsidDel="00000000" w:rsidP="00000000" w:rsidRDefault="00000000" w:rsidRPr="00000000" w14:paraId="00000028">
            <w:pPr>
              <w:numPr>
                <w:ilvl w:val="0"/>
                <w:numId w:val="1"/>
              </w:numPr>
              <w:ind w:left="360" w:hanging="360"/>
            </w:pPr>
            <w:r w:rsidDel="00000000" w:rsidR="00000000" w:rsidRPr="00000000">
              <w:rPr>
                <w:rtl w:val="0"/>
              </w:rPr>
              <w:t xml:space="preserve">Linear outlines</w:t>
            </w:r>
          </w:p>
          <w:p w:rsidR="00000000" w:rsidDel="00000000" w:rsidP="00000000" w:rsidRDefault="00000000" w:rsidRPr="00000000" w14:paraId="00000029">
            <w:pPr>
              <w:numPr>
                <w:ilvl w:val="0"/>
                <w:numId w:val="1"/>
              </w:numPr>
              <w:ind w:left="360" w:hanging="360"/>
            </w:pPr>
            <w:r w:rsidDel="00000000" w:rsidR="00000000" w:rsidRPr="00000000">
              <w:rPr>
                <w:rtl w:val="0"/>
              </w:rPr>
              <w:t xml:space="preserve">Deliberate practice</w:t>
            </w:r>
          </w:p>
          <w:p w:rsidR="00000000" w:rsidDel="00000000" w:rsidP="00000000" w:rsidRDefault="00000000" w:rsidRPr="00000000" w14:paraId="0000002A">
            <w:pPr>
              <w:numPr>
                <w:ilvl w:val="0"/>
                <w:numId w:val="1"/>
              </w:numPr>
              <w:ind w:left="360" w:hanging="360"/>
            </w:pPr>
            <w:r w:rsidDel="00000000" w:rsidR="00000000" w:rsidRPr="00000000">
              <w:rPr>
                <w:rtl w:val="0"/>
              </w:rPr>
              <w:t xml:space="preserve">Clear writing leads to clearer thinking</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2B">
            <w:pPr>
              <w:numPr>
                <w:ilvl w:val="0"/>
                <w:numId w:val="1"/>
              </w:numPr>
              <w:ind w:left="360" w:hanging="360"/>
            </w:pPr>
            <w:r w:rsidDel="00000000" w:rsidR="00000000" w:rsidRPr="00000000">
              <w:rPr>
                <w:rtl w:val="0"/>
              </w:rPr>
              <w:t xml:space="preserve">Sentence stems in math (“Although fractions…”)</w:t>
            </w:r>
          </w:p>
          <w:p w:rsidR="00000000" w:rsidDel="00000000" w:rsidP="00000000" w:rsidRDefault="00000000" w:rsidRPr="00000000" w14:paraId="0000002C">
            <w:pPr>
              <w:numPr>
                <w:ilvl w:val="0"/>
                <w:numId w:val="1"/>
              </w:numPr>
              <w:ind w:left="360" w:hanging="360"/>
            </w:pPr>
            <w:r w:rsidDel="00000000" w:rsidR="00000000" w:rsidRPr="00000000">
              <w:rPr>
                <w:rtl w:val="0"/>
              </w:rPr>
              <w:t xml:space="preserve">Inclusion students writing full paragraphs</w:t>
            </w:r>
          </w:p>
          <w:p w:rsidR="00000000" w:rsidDel="00000000" w:rsidP="00000000" w:rsidRDefault="00000000" w:rsidRPr="00000000" w14:paraId="0000002D">
            <w:pPr>
              <w:numPr>
                <w:ilvl w:val="0"/>
                <w:numId w:val="1"/>
              </w:numPr>
              <w:ind w:left="360" w:hanging="360"/>
            </w:pPr>
            <w:r w:rsidDel="00000000" w:rsidR="00000000" w:rsidRPr="00000000">
              <w:rPr>
                <w:rtl w:val="0"/>
              </w:rPr>
              <w:t xml:space="preserve">Students entering higher grade levels with better writing skills</w:t>
            </w:r>
          </w:p>
          <w:p w:rsidR="00000000" w:rsidDel="00000000" w:rsidP="00000000" w:rsidRDefault="00000000" w:rsidRPr="00000000" w14:paraId="0000002E">
            <w:pPr>
              <w:numPr>
                <w:ilvl w:val="0"/>
                <w:numId w:val="1"/>
              </w:numPr>
              <w:ind w:left="360" w:hanging="360"/>
            </w:pPr>
            <w:r w:rsidDel="00000000" w:rsidR="00000000" w:rsidRPr="00000000">
              <w:rPr>
                <w:rtl w:val="0"/>
              </w:rPr>
              <w:t xml:space="preserve">Improved test scores and increased student confidence</w:t>
            </w:r>
          </w:p>
        </w:tc>
      </w:tr>
    </w:tbl>
    <w:p w:rsidR="00000000" w:rsidDel="00000000" w:rsidP="00000000" w:rsidRDefault="00000000" w:rsidRPr="00000000" w14:paraId="0000002F">
      <w:pPr>
        <w:pStyle w:val="Heading2"/>
        <w:rPr>
          <w:b w:val="1"/>
          <w:bCs w:val="1"/>
        </w:rPr>
      </w:pPr>
      <w:bookmarkStart w:colFirst="0" w:colLast="0" w:name="_zo6pndivglt" w:id="3"/>
      <w:bookmarkEnd w:id="3"/>
      <w:r w:rsidDel="00000000" w:rsidR="00000000" w:rsidRPr="00000000">
        <w:rPr>
          <w:b w:val="1"/>
          <w:bCs w:val="1"/>
          <w:rtl w:val="0"/>
        </w:rPr>
        <w:t xml:space="preserve">Glossary</w:t>
      </w:r>
    </w:p>
    <w:p w:rsidR="00000000" w:rsidDel="00000000" w:rsidP="00000000" w:rsidRDefault="00000000" w:rsidRPr="00000000" w14:paraId="00000030">
      <w:pPr>
        <w:numPr>
          <w:ilvl w:val="0"/>
          <w:numId w:val="3"/>
        </w:numPr>
        <w:spacing w:after="200" w:lineRule="auto"/>
        <w:ind w:left="720" w:hanging="360"/>
      </w:pPr>
      <w:r w:rsidDel="00000000" w:rsidR="00000000" w:rsidRPr="00000000">
        <w:rPr>
          <w:b w:val="1"/>
          <w:bCs w:val="1"/>
          <w:rtl w:val="0"/>
        </w:rPr>
        <w:t xml:space="preserve">Retrieval practice/testing effect </w:t>
      </w:r>
      <w:r w:rsidDel="00000000" w:rsidR="00000000" w:rsidRPr="00000000">
        <w:rPr>
          <w:rtl w:val="0"/>
        </w:rPr>
        <w:t xml:space="preserve">– Recalling information strengthens future recall more than re-reading.</w:t>
      </w:r>
    </w:p>
    <w:p w:rsidR="00000000" w:rsidDel="00000000" w:rsidP="00000000" w:rsidRDefault="00000000" w:rsidRPr="00000000" w14:paraId="00000031">
      <w:pPr>
        <w:numPr>
          <w:ilvl w:val="0"/>
          <w:numId w:val="3"/>
        </w:numPr>
        <w:spacing w:after="200" w:lineRule="auto"/>
        <w:ind w:left="720" w:hanging="360"/>
      </w:pPr>
      <w:r w:rsidDel="00000000" w:rsidR="00000000" w:rsidRPr="00000000">
        <w:rPr>
          <w:b w:val="1"/>
          <w:bCs w:val="1"/>
          <w:rtl w:val="0"/>
        </w:rPr>
        <w:t xml:space="preserve">Elaboration</w:t>
      </w:r>
      <w:r w:rsidDel="00000000" w:rsidR="00000000" w:rsidRPr="00000000">
        <w:rPr>
          <w:rtl w:val="0"/>
        </w:rPr>
        <w:t xml:space="preserve"> – Connecting new information to prior knowledge, examples, or personal meaning.</w:t>
      </w:r>
    </w:p>
    <w:p w:rsidR="00000000" w:rsidDel="00000000" w:rsidP="00000000" w:rsidRDefault="00000000" w:rsidRPr="00000000" w14:paraId="00000032">
      <w:pPr>
        <w:numPr>
          <w:ilvl w:val="0"/>
          <w:numId w:val="3"/>
        </w:numPr>
        <w:spacing w:after="200" w:lineRule="auto"/>
        <w:ind w:left="720" w:hanging="360"/>
      </w:pPr>
      <w:r w:rsidDel="00000000" w:rsidR="00000000" w:rsidRPr="00000000">
        <w:rPr>
          <w:b w:val="1"/>
          <w:bCs w:val="1"/>
          <w:rtl w:val="0"/>
        </w:rPr>
        <w:t xml:space="preserve">Cognitive load</w:t>
      </w:r>
      <w:r w:rsidDel="00000000" w:rsidR="00000000" w:rsidRPr="00000000">
        <w:rPr>
          <w:rtl w:val="0"/>
        </w:rPr>
        <w:t xml:space="preserve"> – Total demand on working memory during a task.</w:t>
      </w:r>
    </w:p>
    <w:p w:rsidR="00000000" w:rsidDel="00000000" w:rsidP="00000000" w:rsidRDefault="00000000" w:rsidRPr="00000000" w14:paraId="00000033">
      <w:pPr>
        <w:numPr>
          <w:ilvl w:val="0"/>
          <w:numId w:val="3"/>
        </w:numPr>
        <w:spacing w:after="200" w:lineRule="auto"/>
        <w:ind w:left="720" w:hanging="360"/>
      </w:pPr>
      <w:r w:rsidDel="00000000" w:rsidR="00000000" w:rsidRPr="00000000">
        <w:rPr>
          <w:b w:val="1"/>
          <w:bCs w:val="1"/>
          <w:rtl w:val="0"/>
        </w:rPr>
        <w:t xml:space="preserve">Deliberate practice</w:t>
      </w:r>
      <w:r w:rsidDel="00000000" w:rsidR="00000000" w:rsidRPr="00000000">
        <w:rPr>
          <w:rtl w:val="0"/>
        </w:rPr>
        <w:t xml:space="preserve"> – Focused, scaffolded practice with targeted feedback.</w:t>
      </w:r>
    </w:p>
    <w:p w:rsidR="00000000" w:rsidDel="00000000" w:rsidP="00000000" w:rsidRDefault="00000000" w:rsidRPr="00000000" w14:paraId="00000034">
      <w:pPr>
        <w:numPr>
          <w:ilvl w:val="0"/>
          <w:numId w:val="3"/>
        </w:numPr>
        <w:spacing w:after="200" w:lineRule="auto"/>
        <w:ind w:left="720" w:hanging="360"/>
      </w:pPr>
      <w:r w:rsidDel="00000000" w:rsidR="00000000" w:rsidRPr="00000000">
        <w:rPr>
          <w:b w:val="1"/>
          <w:bCs w:val="1"/>
          <w:rtl w:val="0"/>
        </w:rPr>
        <w:t xml:space="preserve">Appositive </w:t>
      </w:r>
      <w:r w:rsidDel="00000000" w:rsidR="00000000" w:rsidRPr="00000000">
        <w:rPr>
          <w:rtl w:val="0"/>
        </w:rPr>
        <w:t xml:space="preserve">– A phrase or word describing a noun.</w:t>
      </w:r>
    </w:p>
    <w:p w:rsidR="00000000" w:rsidDel="00000000" w:rsidP="00000000" w:rsidRDefault="00000000" w:rsidRPr="00000000" w14:paraId="00000035">
      <w:pPr>
        <w:numPr>
          <w:ilvl w:val="0"/>
          <w:numId w:val="3"/>
        </w:numPr>
        <w:spacing w:after="200" w:lineRule="auto"/>
        <w:ind w:left="720" w:hanging="360"/>
      </w:pPr>
      <w:r w:rsidDel="00000000" w:rsidR="00000000" w:rsidRPr="00000000">
        <w:rPr>
          <w:b w:val="1"/>
          <w:bCs w:val="1"/>
          <w:rtl w:val="0"/>
        </w:rPr>
        <w:t xml:space="preserve">The Writing Revolution (TWR) </w:t>
      </w:r>
      <w:r w:rsidDel="00000000" w:rsidR="00000000" w:rsidRPr="00000000">
        <w:rPr>
          <w:rtl w:val="0"/>
        </w:rPr>
        <w:t xml:space="preserve">– Example of explicit writing instruction method starting at the sentence level, embedded in all subjects.</w:t>
      </w:r>
      <w:r w:rsidDel="00000000" w:rsidR="00000000" w:rsidRPr="00000000">
        <w:rPr>
          <w:rtl w:val="0"/>
        </w:rPr>
      </w:r>
    </w:p>
    <w:p w:rsidR="00000000" w:rsidDel="00000000" w:rsidP="00000000" w:rsidRDefault="00000000" w:rsidRPr="00000000" w14:paraId="00000036">
      <w:pPr>
        <w:pStyle w:val="Heading2"/>
        <w:rPr>
          <w:rFonts w:ascii="Arial" w:cs="Arial" w:eastAsia="Arial" w:hAnsi="Arial"/>
          <w:b w:val="1"/>
          <w:bCs w:val="1"/>
          <w:color w:val="434343"/>
        </w:rPr>
      </w:pPr>
      <w:bookmarkStart w:colFirst="0" w:colLast="0" w:name="_ch1gyr529njt" w:id="2"/>
      <w:bookmarkEnd w:id="2"/>
      <w:r w:rsidDel="00000000" w:rsidR="00000000" w:rsidRPr="00000000">
        <w:rPr>
          <w:b w:val="1"/>
          <w:bCs w:val="1"/>
          <w:rtl w:val="0"/>
        </w:rPr>
        <w:t xml:space="preserve">Takeaways and teacher moves</w:t>
      </w:r>
      <w:r w:rsidDel="00000000" w:rsidR="00000000" w:rsidRPr="00000000">
        <w:rPr>
          <w:rtl w:val="0"/>
        </w:rPr>
      </w:r>
    </w:p>
    <w:tbl>
      <w:tblPr>
        <w:tblStyle w:val="Table2"/>
        <w:tblW w:w="10065.599999999999" w:type="dxa"/>
        <w:jc w:val="left"/>
        <w:tblInd w:w="-115.0" w:type="dxa"/>
        <w:tblLayout w:type="fixed"/>
        <w:tblLook w:val="0400"/>
      </w:tblPr>
      <w:tblGrid>
        <w:gridCol w:w="3355.2"/>
        <w:gridCol w:w="3355.2"/>
        <w:gridCol w:w="3355.2"/>
        <w:tblGridChange w:id="0">
          <w:tblGrid>
            <w:gridCol w:w="3355.2"/>
            <w:gridCol w:w="3355.2"/>
            <w:gridCol w:w="3355.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283278" w:val="clear"/>
            <w:tcMar>
              <w:top w:w="72.0" w:type="dxa"/>
              <w:left w:w="72.0" w:type="dxa"/>
              <w:bottom w:w="72.0" w:type="dxa"/>
              <w:right w:w="72.0" w:type="dxa"/>
            </w:tcMar>
          </w:tcPr>
          <w:p w:rsidR="00000000" w:rsidDel="00000000" w:rsidP="00000000" w:rsidRDefault="00000000" w:rsidRPr="00000000" w14:paraId="00000037">
            <w:pPr>
              <w:rPr>
                <w:b w:val="1"/>
                <w:bCs w:val="1"/>
                <w:color w:val="ffffff"/>
              </w:rPr>
            </w:pPr>
            <w:r w:rsidDel="00000000" w:rsidR="00000000" w:rsidRPr="00000000">
              <w:rPr>
                <w:b w:val="1"/>
                <w:bCs w:val="1"/>
                <w:color w:val="ffffff"/>
                <w:rtl w:val="0"/>
              </w:rPr>
              <w:t xml:space="preserve">Principle</w:t>
            </w:r>
          </w:p>
        </w:tc>
        <w:tc>
          <w:tcPr>
            <w:tcBorders>
              <w:top w:color="000000" w:space="0" w:sz="8" w:val="single"/>
              <w:left w:color="000000" w:space="0" w:sz="8" w:val="single"/>
              <w:bottom w:color="000000" w:space="0" w:sz="8" w:val="single"/>
              <w:right w:color="000000" w:space="0" w:sz="8" w:val="single"/>
            </w:tcBorders>
            <w:shd w:fill="283278" w:val="clear"/>
            <w:tcMar>
              <w:top w:w="72.0" w:type="dxa"/>
              <w:left w:w="72.0" w:type="dxa"/>
              <w:bottom w:w="72.0" w:type="dxa"/>
              <w:right w:w="72.0" w:type="dxa"/>
            </w:tcMar>
          </w:tcPr>
          <w:p w:rsidR="00000000" w:rsidDel="00000000" w:rsidP="00000000" w:rsidRDefault="00000000" w:rsidRPr="00000000" w14:paraId="00000038">
            <w:pPr>
              <w:rPr>
                <w:b w:val="1"/>
                <w:bCs w:val="1"/>
                <w:color w:val="ffffff"/>
              </w:rPr>
            </w:pPr>
            <w:r w:rsidDel="00000000" w:rsidR="00000000" w:rsidRPr="00000000">
              <w:rPr>
                <w:b w:val="1"/>
                <w:bCs w:val="1"/>
                <w:color w:val="ffffff"/>
                <w:rtl w:val="0"/>
              </w:rPr>
              <w:t xml:space="preserve">Why it matters</w:t>
            </w:r>
          </w:p>
        </w:tc>
        <w:tc>
          <w:tcPr>
            <w:tcBorders>
              <w:top w:color="000000" w:space="0" w:sz="8" w:val="single"/>
              <w:left w:color="000000" w:space="0" w:sz="8" w:val="single"/>
              <w:bottom w:color="000000" w:space="0" w:sz="8" w:val="single"/>
              <w:right w:color="000000" w:space="0" w:sz="8" w:val="single"/>
            </w:tcBorders>
            <w:shd w:fill="283278" w:val="clear"/>
            <w:tcMar>
              <w:top w:w="72.0" w:type="dxa"/>
              <w:left w:w="72.0" w:type="dxa"/>
              <w:bottom w:w="72.0" w:type="dxa"/>
              <w:right w:w="72.0" w:type="dxa"/>
            </w:tcMar>
          </w:tcPr>
          <w:p w:rsidR="00000000" w:rsidDel="00000000" w:rsidP="00000000" w:rsidRDefault="00000000" w:rsidRPr="00000000" w14:paraId="00000039">
            <w:pPr>
              <w:rPr>
                <w:b w:val="1"/>
                <w:bCs w:val="1"/>
                <w:color w:val="ffffff"/>
              </w:rPr>
            </w:pPr>
            <w:r w:rsidDel="00000000" w:rsidR="00000000" w:rsidRPr="00000000">
              <w:rPr>
                <w:b w:val="1"/>
                <w:bCs w:val="1"/>
                <w:color w:val="ffffff"/>
                <w:rtl w:val="0"/>
              </w:rPr>
              <w:t xml:space="preserve">Classroom moves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3A">
            <w:pPr>
              <w:rPr>
                <w:b w:val="1"/>
                <w:bCs w:val="1"/>
              </w:rPr>
            </w:pPr>
            <w:r w:rsidDel="00000000" w:rsidR="00000000" w:rsidRPr="00000000">
              <w:rPr>
                <w:b w:val="1"/>
                <w:bCs w:val="1"/>
                <w:rtl w:val="0"/>
              </w:rPr>
              <w:t xml:space="preserve">Writing = learning</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3B">
            <w:pPr>
              <w:rPr/>
            </w:pPr>
            <w:r w:rsidDel="00000000" w:rsidR="00000000" w:rsidRPr="00000000">
              <w:rPr>
                <w:rtl w:val="0"/>
              </w:rPr>
              <w:t xml:space="preserve">Promotes retrieval practice, elaboration, and deeper comprehension.</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3C">
            <w:pPr>
              <w:rPr/>
            </w:pPr>
            <w:r w:rsidDel="00000000" w:rsidR="00000000" w:rsidRPr="00000000">
              <w:rPr>
                <w:rtl w:val="0"/>
              </w:rPr>
              <w:t xml:space="preserve">Teach writing strategies across subjects, embedded in content.</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3D">
            <w:pPr>
              <w:rPr>
                <w:b w:val="1"/>
                <w:bCs w:val="1"/>
              </w:rPr>
            </w:pPr>
            <w:r w:rsidDel="00000000" w:rsidR="00000000" w:rsidRPr="00000000">
              <w:rPr>
                <w:b w:val="1"/>
                <w:bCs w:val="1"/>
                <w:rtl w:val="0"/>
              </w:rPr>
              <w:t xml:space="preserve">Manage cognitive load</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3E">
            <w:pPr>
              <w:rPr/>
            </w:pPr>
            <w:r w:rsidDel="00000000" w:rsidR="00000000" w:rsidRPr="00000000">
              <w:rPr>
                <w:rtl w:val="0"/>
              </w:rPr>
              <w:t xml:space="preserve">Inexperienced writers can be overwhelmed by too many demands.</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3F">
            <w:pPr>
              <w:rPr/>
            </w:pPr>
            <w:r w:rsidDel="00000000" w:rsidR="00000000" w:rsidRPr="00000000">
              <w:rPr>
                <w:rtl w:val="0"/>
              </w:rPr>
              <w:t xml:space="preserve">Begin instruction at the sentence level and teach students to create clear outlines.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40">
            <w:pPr>
              <w:rPr>
                <w:b w:val="1"/>
                <w:bCs w:val="1"/>
              </w:rPr>
            </w:pPr>
            <w:r w:rsidDel="00000000" w:rsidR="00000000" w:rsidRPr="00000000">
              <w:rPr>
                <w:b w:val="1"/>
                <w:bCs w:val="1"/>
                <w:rtl w:val="0"/>
              </w:rPr>
              <w:t xml:space="preserve">Embed in content</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41">
            <w:pPr>
              <w:rPr/>
            </w:pPr>
            <w:r w:rsidDel="00000000" w:rsidR="00000000" w:rsidRPr="00000000">
              <w:rPr>
                <w:rtl w:val="0"/>
              </w:rPr>
              <w:t xml:space="preserve">Writing about known topics deepens curricular knowledge.</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42">
            <w:pPr>
              <w:rPr/>
            </w:pPr>
            <w:r w:rsidDel="00000000" w:rsidR="00000000" w:rsidRPr="00000000">
              <w:rPr>
                <w:rtl w:val="0"/>
              </w:rPr>
              <w:t xml:space="preserve">Ensure that students have adequate information about a topic before asking them to write.</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43">
            <w:pPr>
              <w:rPr>
                <w:b w:val="1"/>
                <w:bCs w:val="1"/>
              </w:rPr>
            </w:pPr>
            <w:r w:rsidDel="00000000" w:rsidR="00000000" w:rsidRPr="00000000">
              <w:rPr>
                <w:b w:val="1"/>
                <w:bCs w:val="1"/>
                <w:rtl w:val="0"/>
              </w:rPr>
              <w:t xml:space="preserve">Teach syntax in context</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44">
            <w:pPr>
              <w:rPr/>
            </w:pPr>
            <w:r w:rsidDel="00000000" w:rsidR="00000000" w:rsidRPr="00000000">
              <w:rPr>
                <w:rtl w:val="0"/>
              </w:rPr>
              <w:t xml:space="preserve">Learning to use complex sentence structures enables students to understand them.</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45">
            <w:pPr>
              <w:rPr/>
            </w:pPr>
            <w:r w:rsidDel="00000000" w:rsidR="00000000" w:rsidRPr="00000000">
              <w:rPr>
                <w:rtl w:val="0"/>
              </w:rPr>
              <w:t xml:space="preserve">Explicitly teach structures like appositives and subordinating conjunctions through student writing.</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46">
            <w:pPr>
              <w:rPr>
                <w:b w:val="1"/>
                <w:bCs w:val="1"/>
              </w:rPr>
            </w:pPr>
            <w:r w:rsidDel="00000000" w:rsidR="00000000" w:rsidRPr="00000000">
              <w:rPr>
                <w:b w:val="1"/>
                <w:bCs w:val="1"/>
                <w:rtl w:val="0"/>
              </w:rPr>
              <w:t xml:space="preserve">Writing advances thinking</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47">
            <w:pPr>
              <w:rPr/>
            </w:pPr>
            <w:r w:rsidDel="00000000" w:rsidR="00000000" w:rsidRPr="00000000">
              <w:rPr>
                <w:rtl w:val="0"/>
              </w:rPr>
              <w:t xml:space="preserve">Explicit writing instruction enables students to think in clearer and more complex ways.</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48">
            <w:pPr>
              <w:rPr/>
            </w:pPr>
            <w:r w:rsidDel="00000000" w:rsidR="00000000" w:rsidRPr="00000000">
              <w:rPr>
                <w:rtl w:val="0"/>
              </w:rPr>
              <w:t xml:space="preserve">Weave writing activities throughout classroom instruction.</w:t>
            </w:r>
          </w:p>
        </w:tc>
      </w:tr>
    </w:tbl>
    <w:p w:rsidR="00000000" w:rsidDel="00000000" w:rsidP="00000000" w:rsidRDefault="00000000" w:rsidRPr="00000000" w14:paraId="00000049">
      <w:pPr>
        <w:pStyle w:val="Heading2"/>
        <w:rPr>
          <w:b w:val="1"/>
          <w:bCs w:val="1"/>
        </w:rPr>
      </w:pPr>
      <w:bookmarkStart w:colFirst="0" w:colLast="0" w:name="_1blgwyqo69n6" w:id="4"/>
      <w:bookmarkEnd w:id="4"/>
      <w:r w:rsidDel="00000000" w:rsidR="00000000" w:rsidRPr="00000000">
        <w:rPr>
          <w:b w:val="1"/>
          <w:bCs w:val="1"/>
          <w:rtl w:val="0"/>
        </w:rPr>
        <w:t xml:space="preserve">Discussion questions</w:t>
      </w:r>
    </w:p>
    <w:p w:rsidR="00000000" w:rsidDel="00000000" w:rsidP="00000000" w:rsidRDefault="00000000" w:rsidRPr="00000000" w14:paraId="0000004A">
      <w:pPr>
        <w:numPr>
          <w:ilvl w:val="0"/>
          <w:numId w:val="5"/>
        </w:numPr>
        <w:spacing w:after="200" w:lineRule="auto"/>
        <w:ind w:left="720" w:hanging="360"/>
      </w:pPr>
      <w:r w:rsidDel="00000000" w:rsidR="00000000" w:rsidRPr="00000000">
        <w:rPr>
          <w:rtl w:val="0"/>
        </w:rPr>
        <w:t xml:space="preserve">What are three distinct ways in which writing aids learning?</w:t>
      </w:r>
    </w:p>
    <w:p w:rsidR="00000000" w:rsidDel="00000000" w:rsidP="00000000" w:rsidRDefault="00000000" w:rsidRPr="00000000" w14:paraId="0000004B">
      <w:pPr>
        <w:numPr>
          <w:ilvl w:val="0"/>
          <w:numId w:val="5"/>
        </w:numPr>
        <w:spacing w:after="200" w:lineRule="auto"/>
        <w:ind w:left="720" w:hanging="360"/>
      </w:pPr>
      <w:r w:rsidDel="00000000" w:rsidR="00000000" w:rsidRPr="00000000">
        <w:rPr>
          <w:rtl w:val="0"/>
        </w:rPr>
        <w:t xml:space="preserve">How does writing function as retrieval practice?</w:t>
      </w:r>
    </w:p>
    <w:p w:rsidR="00000000" w:rsidDel="00000000" w:rsidP="00000000" w:rsidRDefault="00000000" w:rsidRPr="00000000" w14:paraId="0000004C">
      <w:pPr>
        <w:numPr>
          <w:ilvl w:val="0"/>
          <w:numId w:val="5"/>
        </w:numPr>
        <w:spacing w:after="200" w:lineRule="auto"/>
        <w:ind w:left="720" w:hanging="360"/>
      </w:pPr>
      <w:r w:rsidDel="00000000" w:rsidR="00000000" w:rsidRPr="00000000">
        <w:rPr>
          <w:rtl w:val="0"/>
        </w:rPr>
        <w:t xml:space="preserve">Why might writing sometimes hinder rather than help learning?</w:t>
      </w:r>
    </w:p>
    <w:p w:rsidR="00000000" w:rsidDel="00000000" w:rsidP="00000000" w:rsidRDefault="00000000" w:rsidRPr="00000000" w14:paraId="0000004D">
      <w:pPr>
        <w:numPr>
          <w:ilvl w:val="0"/>
          <w:numId w:val="5"/>
        </w:numPr>
        <w:spacing w:after="200" w:lineRule="auto"/>
        <w:ind w:left="720" w:hanging="360"/>
      </w:pPr>
      <w:r w:rsidDel="00000000" w:rsidR="00000000" w:rsidRPr="00000000">
        <w:rPr>
          <w:rtl w:val="0"/>
        </w:rPr>
        <w:t xml:space="preserve">What benefits arise when writing instruction is embedded in math, science, or social studies?</w:t>
      </w:r>
    </w:p>
    <w:p w:rsidR="00000000" w:rsidDel="00000000" w:rsidP="00000000" w:rsidRDefault="00000000" w:rsidRPr="00000000" w14:paraId="0000004E">
      <w:pPr>
        <w:numPr>
          <w:ilvl w:val="0"/>
          <w:numId w:val="5"/>
        </w:numPr>
        <w:spacing w:after="200" w:lineRule="auto"/>
        <w:ind w:left="720" w:hanging="360"/>
      </w:pPr>
      <w:r w:rsidDel="00000000" w:rsidR="00000000" w:rsidRPr="00000000">
        <w:rPr>
          <w:rtl w:val="0"/>
        </w:rPr>
        <w:t xml:space="preserve">How can explicit sentence-level strategies empower struggling writers?</w:t>
      </w:r>
    </w:p>
    <w:p w:rsidR="00000000" w:rsidDel="00000000" w:rsidP="00000000" w:rsidRDefault="00000000" w:rsidRPr="00000000" w14:paraId="0000004F">
      <w:pPr>
        <w:numPr>
          <w:ilvl w:val="0"/>
          <w:numId w:val="5"/>
        </w:numPr>
        <w:spacing w:after="200" w:lineRule="auto"/>
        <w:ind w:left="720" w:hanging="360"/>
      </w:pPr>
      <w:r w:rsidDel="00000000" w:rsidR="00000000" w:rsidRPr="00000000">
        <w:rPr>
          <w:rtl w:val="0"/>
        </w:rPr>
        <w:t xml:space="preserve">What is an example of a content-based sentence stem you could use in your subject and classroom?</w:t>
      </w:r>
    </w:p>
    <w:p w:rsidR="00000000" w:rsidDel="00000000" w:rsidP="00000000" w:rsidRDefault="00000000" w:rsidRPr="00000000" w14:paraId="00000050">
      <w:pPr>
        <w:spacing w:after="200" w:lineRule="auto"/>
        <w:rPr/>
      </w:pPr>
      <w:r w:rsidDel="00000000" w:rsidR="00000000" w:rsidRPr="00000000">
        <w:rPr>
          <w:rtl w:val="0"/>
        </w:rPr>
      </w:r>
    </w:p>
    <w:p w:rsidR="00000000" w:rsidDel="00000000" w:rsidP="00000000" w:rsidRDefault="00000000" w:rsidRPr="00000000" w14:paraId="00000051">
      <w:pPr>
        <w:spacing w:after="200" w:lineRule="auto"/>
        <w:rPr/>
      </w:pPr>
      <w:r w:rsidDel="00000000" w:rsidR="00000000" w:rsidRPr="00000000">
        <w:rPr>
          <w:rtl w:val="0"/>
        </w:rPr>
      </w:r>
    </w:p>
    <w:p w:rsidR="00000000" w:rsidDel="00000000" w:rsidP="00000000" w:rsidRDefault="00000000" w:rsidRPr="00000000" w14:paraId="00000052">
      <w:pPr>
        <w:pStyle w:val="Heading2"/>
        <w:rPr>
          <w:rFonts w:ascii="Arial" w:cs="Arial" w:eastAsia="Arial" w:hAnsi="Arial"/>
          <w:b w:val="1"/>
          <w:bCs w:val="1"/>
          <w:color w:val="434343"/>
        </w:rPr>
      </w:pPr>
      <w:bookmarkStart w:colFirst="0" w:colLast="0" w:name="_yzsbizi1qm10" w:id="5"/>
      <w:bookmarkEnd w:id="5"/>
      <w:r w:rsidDel="00000000" w:rsidR="00000000" w:rsidRPr="00000000">
        <w:rPr>
          <w:b w:val="1"/>
          <w:bCs w:val="1"/>
          <w:rtl w:val="0"/>
        </w:rPr>
        <w:t xml:space="preserve">Activities</w:t>
      </w:r>
      <w:r w:rsidDel="00000000" w:rsidR="00000000" w:rsidRPr="00000000">
        <w:rPr>
          <w:rtl w:val="0"/>
        </w:rPr>
      </w:r>
    </w:p>
    <w:tbl>
      <w:tblPr>
        <w:tblStyle w:val="Table3"/>
        <w:tblW w:w="10080.0" w:type="dxa"/>
        <w:jc w:val="left"/>
        <w:tblInd w:w="-115.0" w:type="dxa"/>
        <w:tblLayout w:type="fixed"/>
        <w:tblLook w:val="0400"/>
      </w:tblPr>
      <w:tblGrid>
        <w:gridCol w:w="5040"/>
        <w:gridCol w:w="5040"/>
        <w:tblGridChange w:id="0">
          <w:tblGrid>
            <w:gridCol w:w="5040"/>
            <w:gridCol w:w="504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283278" w:val="clear"/>
            <w:tcMar>
              <w:top w:w="72.0" w:type="dxa"/>
              <w:left w:w="72.0" w:type="dxa"/>
              <w:bottom w:w="72.0" w:type="dxa"/>
              <w:right w:w="72.0" w:type="dxa"/>
            </w:tcMar>
          </w:tcPr>
          <w:p w:rsidR="00000000" w:rsidDel="00000000" w:rsidP="00000000" w:rsidRDefault="00000000" w:rsidRPr="00000000" w14:paraId="00000053">
            <w:pPr>
              <w:rPr>
                <w:b w:val="1"/>
                <w:bCs w:val="1"/>
                <w:color w:val="ffffff"/>
              </w:rPr>
            </w:pPr>
            <w:r w:rsidDel="00000000" w:rsidR="00000000" w:rsidRPr="00000000">
              <w:rPr>
                <w:b w:val="1"/>
                <w:bCs w:val="1"/>
                <w:color w:val="ffffff"/>
                <w:rtl w:val="0"/>
              </w:rPr>
              <w:t xml:space="preserve">Purpose</w:t>
            </w:r>
          </w:p>
        </w:tc>
        <w:tc>
          <w:tcPr>
            <w:tcBorders>
              <w:top w:color="000000" w:space="0" w:sz="8" w:val="single"/>
              <w:left w:color="000000" w:space="0" w:sz="8" w:val="single"/>
              <w:bottom w:color="000000" w:space="0" w:sz="8" w:val="single"/>
              <w:right w:color="000000" w:space="0" w:sz="8" w:val="single"/>
            </w:tcBorders>
            <w:shd w:fill="283278" w:val="clear"/>
            <w:tcMar>
              <w:top w:w="72.0" w:type="dxa"/>
              <w:left w:w="72.0" w:type="dxa"/>
              <w:bottom w:w="72.0" w:type="dxa"/>
              <w:right w:w="72.0" w:type="dxa"/>
            </w:tcMar>
          </w:tcPr>
          <w:p w:rsidR="00000000" w:rsidDel="00000000" w:rsidP="00000000" w:rsidRDefault="00000000" w:rsidRPr="00000000" w14:paraId="00000054">
            <w:pPr>
              <w:rPr>
                <w:b w:val="1"/>
                <w:bCs w:val="1"/>
                <w:color w:val="ffffff"/>
              </w:rPr>
            </w:pPr>
            <w:r w:rsidDel="00000000" w:rsidR="00000000" w:rsidRPr="00000000">
              <w:rPr>
                <w:b w:val="1"/>
                <w:bCs w:val="1"/>
                <w:color w:val="ffffff"/>
                <w:rtl w:val="0"/>
              </w:rPr>
              <w:t xml:space="preserve">Activity</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55">
            <w:pPr>
              <w:rPr>
                <w:b w:val="1"/>
                <w:bCs w:val="1"/>
              </w:rPr>
            </w:pPr>
            <w:r w:rsidDel="00000000" w:rsidR="00000000" w:rsidRPr="00000000">
              <w:rPr>
                <w:b w:val="1"/>
                <w:bCs w:val="1"/>
                <w:rtl w:val="0"/>
              </w:rPr>
              <w:t xml:space="preserve">Retrieval practice</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56">
            <w:pPr>
              <w:rPr/>
            </w:pPr>
            <w:r w:rsidDel="00000000" w:rsidR="00000000" w:rsidRPr="00000000">
              <w:rPr>
                <w:rtl w:val="0"/>
              </w:rPr>
              <w:t xml:space="preserve">Have students turn fragments into complete sentences by adding information they have learned.</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57">
            <w:pPr>
              <w:rPr>
                <w:b w:val="1"/>
                <w:bCs w:val="1"/>
              </w:rPr>
            </w:pPr>
            <w:r w:rsidDel="00000000" w:rsidR="00000000" w:rsidRPr="00000000">
              <w:rPr>
                <w:b w:val="1"/>
                <w:bCs w:val="1"/>
                <w:rtl w:val="0"/>
              </w:rPr>
              <w:t xml:space="preserve">Scaffold cognitive load</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58">
            <w:pPr>
              <w:rPr/>
            </w:pPr>
            <w:r w:rsidDel="00000000" w:rsidR="00000000" w:rsidRPr="00000000">
              <w:rPr>
                <w:rtl w:val="0"/>
              </w:rPr>
              <w:t xml:space="preserve">Provide sentence stems tied to content and have students complete them using the conjunction </w:t>
            </w:r>
            <w:r w:rsidDel="00000000" w:rsidR="00000000" w:rsidRPr="00000000">
              <w:rPr>
                <w:i w:val="1"/>
                <w:iCs w:val="1"/>
                <w:rtl w:val="0"/>
              </w:rPr>
              <w:t xml:space="preserve">because, but</w:t>
            </w:r>
            <w:r w:rsidDel="00000000" w:rsidR="00000000" w:rsidRPr="00000000">
              <w:rPr>
                <w:rtl w:val="0"/>
              </w:rPr>
              <w:t xml:space="preserve">, and </w:t>
            </w:r>
            <w:r w:rsidDel="00000000" w:rsidR="00000000" w:rsidRPr="00000000">
              <w:rPr>
                <w:i w:val="1"/>
                <w:iCs w:val="1"/>
                <w:rtl w:val="0"/>
              </w:rPr>
              <w:t xml:space="preserve">so</w:t>
            </w:r>
            <w:r w:rsidDel="00000000" w:rsidR="00000000" w:rsidRPr="00000000">
              <w:rPr>
                <w:rtl w:val="0"/>
              </w:rPr>
              <w:t xml:space="preserve">.</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59">
            <w:pPr>
              <w:rPr>
                <w:b w:val="1"/>
                <w:bCs w:val="1"/>
              </w:rPr>
            </w:pPr>
            <w:r w:rsidDel="00000000" w:rsidR="00000000" w:rsidRPr="00000000">
              <w:rPr>
                <w:b w:val="1"/>
                <w:bCs w:val="1"/>
                <w:rtl w:val="0"/>
              </w:rPr>
              <w:t xml:space="preserve">Practice syntax</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5A">
            <w:pPr>
              <w:rPr/>
            </w:pPr>
            <w:r w:rsidDel="00000000" w:rsidR="00000000" w:rsidRPr="00000000">
              <w:rPr>
                <w:rtl w:val="0"/>
              </w:rPr>
              <w:t xml:space="preserve">Have students fill in a missing appositive.</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5B">
            <w:pPr>
              <w:rPr>
                <w:b w:val="1"/>
                <w:bCs w:val="1"/>
              </w:rPr>
            </w:pPr>
            <w:r w:rsidDel="00000000" w:rsidR="00000000" w:rsidRPr="00000000">
              <w:rPr>
                <w:b w:val="1"/>
                <w:bCs w:val="1"/>
                <w:rtl w:val="0"/>
              </w:rPr>
              <w:t xml:space="preserve">Embed across subjects</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5C">
            <w:pPr>
              <w:rPr/>
            </w:pPr>
            <w:r w:rsidDel="00000000" w:rsidR="00000000" w:rsidRPr="00000000">
              <w:rPr>
                <w:rtl w:val="0"/>
              </w:rPr>
              <w:t xml:space="preserve">In math, ask students to finish sentence stems such as: “Although fractions are like decimals…”</w:t>
            </w:r>
          </w:p>
        </w:tc>
      </w:tr>
    </w:tbl>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pStyle w:val="Heading2"/>
        <w:spacing w:before="240" w:lineRule="auto"/>
        <w:rPr>
          <w:b w:val="1"/>
          <w:bCs w:val="1"/>
        </w:rPr>
      </w:pPr>
      <w:bookmarkStart w:colFirst="0" w:colLast="0" w:name="_84ev0o15oi82" w:id="6"/>
      <w:bookmarkEnd w:id="6"/>
      <w:r w:rsidDel="00000000" w:rsidR="00000000" w:rsidRPr="00000000">
        <w:rPr>
          <w:b w:val="1"/>
          <w:bCs w:val="1"/>
          <w:rtl w:val="0"/>
        </w:rPr>
        <w:t xml:space="preserve">Further reading</w:t>
      </w:r>
    </w:p>
    <w:p w:rsidR="00000000" w:rsidDel="00000000" w:rsidP="00000000" w:rsidRDefault="00000000" w:rsidRPr="00000000" w14:paraId="0000005F">
      <w:pPr>
        <w:numPr>
          <w:ilvl w:val="0"/>
          <w:numId w:val="4"/>
        </w:numPr>
        <w:ind w:left="720" w:hanging="360"/>
      </w:pPr>
      <w:r w:rsidDel="00000000" w:rsidR="00000000" w:rsidRPr="00000000">
        <w:rPr>
          <w:rtl w:val="0"/>
        </w:rPr>
        <w:t xml:space="preserve">Hochman, J. and Wexler, N. (2024) </w:t>
      </w:r>
      <w:hyperlink r:id="rId6">
        <w:r w:rsidDel="00000000" w:rsidR="00000000" w:rsidRPr="00000000">
          <w:rPr>
            <w:i w:val="1"/>
            <w:iCs w:val="1"/>
            <w:color w:val="1155cc"/>
            <w:u w:val="single"/>
            <w:rtl w:val="0"/>
          </w:rPr>
          <w:t xml:space="preserve">The Writing Revolution 2.0</w:t>
        </w:r>
      </w:hyperlink>
      <w:r w:rsidDel="00000000" w:rsidR="00000000" w:rsidRPr="00000000">
        <w:rPr>
          <w:rtl w:val="0"/>
        </w:rPr>
        <w:t xml:space="preserve">.</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aytone One">
    <w:embedRegular w:fontKey="{00000000-0000-0000-0000-000000000000}" r:id="rId1" w:subsetted="0"/>
  </w:font>
  <w:font w:name="Palanquin">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jc w:val="center"/>
      <w:rPr/>
    </w:pPr>
    <w:r w:rsidDel="00000000" w:rsidR="00000000" w:rsidRPr="00000000">
      <w:rPr/>
      <w:drawing>
        <wp:inline distB="114300" distT="114300" distL="114300" distR="114300">
          <wp:extent cx="457200" cy="457200"/>
          <wp:effectExtent b="0" l="0" r="0" t="0"/>
          <wp:docPr id="1" name="image1.png"/>
          <a:graphic>
            <a:graphicData uri="http://schemas.openxmlformats.org/drawingml/2006/picture">
              <pic:pic>
                <pic:nvPicPr>
                  <pic:cNvPr id="0" name="image1.png"/>
                  <pic:cNvPicPr preferRelativeResize="0"/>
                </pic:nvPicPr>
                <pic:blipFill>
                  <a:blip r:embed="rId1"/>
                  <a:srcRect b="14551" l="14423" r="14743" t="10321"/>
                  <a:stretch>
                    <a:fillRect/>
                  </a:stretch>
                </pic:blipFill>
                <pic:spPr>
                  <a:xfrm>
                    <a:off x="0" y="0"/>
                    <a:ext cx="457200" cy="457200"/>
                  </a:xfrm>
                  <a:prstGeom prst="rect"/>
                  <a:ln/>
                </pic:spPr>
              </pic:pic>
            </a:graphicData>
          </a:graphic>
        </wp:inline>
      </w:drawing>
    </w:r>
    <w:r w:rsidDel="00000000" w:rsidR="00000000" w:rsidRPr="00000000">
      <w:rPr>
        <w:rtl w:val="0"/>
      </w:rPr>
    </w:r>
  </w:p>
  <w:p w:rsidR="00000000" w:rsidDel="00000000" w:rsidP="00000000" w:rsidRDefault="00000000" w:rsidRPr="00000000" w14:paraId="0000006A">
    <w:pPr>
      <w:jc w:val="center"/>
      <w:rPr/>
    </w:pPr>
    <w:hyperlink r:id="rId2">
      <w:r w:rsidDel="00000000" w:rsidR="00000000" w:rsidRPr="00000000">
        <w:rPr>
          <w:rFonts w:ascii="Palanquin" w:cs="Palanquin" w:eastAsia="Palanquin" w:hAnsi="Palanquin"/>
          <w:color w:val="283278"/>
          <w:u w:val="single"/>
          <w:rtl w:val="0"/>
        </w:rPr>
        <w:t xml:space="preserve">knowledgematterscampaign.org</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jc w:val="left"/>
      <w:rPr>
        <w:rFonts w:ascii="Paytone One" w:cs="Paytone One" w:eastAsia="Paytone One" w:hAnsi="Paytone One"/>
        <w:color w:val="283278"/>
        <w:sz w:val="2"/>
        <w:szCs w:val="2"/>
      </w:rPr>
    </w:pPr>
    <w:r w:rsidDel="00000000" w:rsidR="00000000" w:rsidRPr="00000000">
      <w:rPr>
        <w:rtl w:val="0"/>
      </w:rPr>
    </w:r>
  </w:p>
  <w:tbl>
    <w:tblPr>
      <w:tblStyle w:val="Table4"/>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000000" w:space="0" w:sz="0" w:val="nil"/>
            <w:left w:color="000000" w:space="0" w:sz="0" w:val="nil"/>
            <w:bottom w:color="283278"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6">
          <w:pPr>
            <w:pStyle w:val="Title"/>
            <w:jc w:val="center"/>
            <w:rPr>
              <w:rFonts w:ascii="Paytone One" w:cs="Paytone One" w:eastAsia="Paytone One" w:hAnsi="Paytone One"/>
              <w:color w:val="283278"/>
              <w:sz w:val="48"/>
              <w:szCs w:val="48"/>
            </w:rPr>
          </w:pPr>
          <w:bookmarkStart w:colFirst="0" w:colLast="0" w:name="_qpzjyhweaq3q" w:id="7"/>
          <w:bookmarkEnd w:id="7"/>
          <w:r w:rsidDel="00000000" w:rsidR="00000000" w:rsidRPr="00000000">
            <w:rPr>
              <w:rFonts w:ascii="Paytone One" w:cs="Paytone One" w:eastAsia="Paytone One" w:hAnsi="Paytone One"/>
              <w:color w:val="283278"/>
              <w:sz w:val="48"/>
              <w:szCs w:val="48"/>
              <w:rtl w:val="0"/>
            </w:rPr>
            <w:t xml:space="preserve">Knowledge Matters Campaign</w:t>
          </w:r>
        </w:p>
        <w:p w:rsidR="00000000" w:rsidDel="00000000" w:rsidP="00000000" w:rsidRDefault="00000000" w:rsidRPr="00000000" w14:paraId="00000067">
          <w:pPr>
            <w:jc w:val="center"/>
            <w:rPr>
              <w:rFonts w:ascii="Paytone One" w:cs="Paytone One" w:eastAsia="Paytone One" w:hAnsi="Paytone One"/>
              <w:color w:val="283278"/>
              <w:sz w:val="10"/>
              <w:szCs w:val="10"/>
            </w:rPr>
          </w:pPr>
          <w:r w:rsidDel="00000000" w:rsidR="00000000" w:rsidRPr="00000000">
            <w:rPr>
              <w:rtl w:val="0"/>
            </w:rPr>
          </w:r>
        </w:p>
      </w:tc>
    </w:tr>
  </w:tbl>
  <w:p w:rsidR="00000000" w:rsidDel="00000000" w:rsidP="00000000" w:rsidRDefault="00000000" w:rsidRPr="00000000" w14:paraId="00000068">
    <w:pPr>
      <w:jc w:val="left"/>
      <w:rPr>
        <w:rFonts w:ascii="Paytone One" w:cs="Paytone One" w:eastAsia="Paytone One" w:hAnsi="Paytone One"/>
        <w:color w:val="283278"/>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rFonts w:ascii="Palanquin" w:cs="Palanquin" w:eastAsia="Palanquin" w:hAnsi="Palanquin"/>
      <w:color w:val="283278"/>
      <w:sz w:val="40"/>
      <w:szCs w:val="40"/>
    </w:rPr>
  </w:style>
  <w:style w:type="paragraph" w:styleId="Heading2">
    <w:name w:val="heading 2"/>
    <w:basedOn w:val="Normal"/>
    <w:next w:val="Normal"/>
    <w:pPr>
      <w:keepNext w:val="1"/>
      <w:keepLines w:val="1"/>
      <w:spacing w:after="120" w:before="360" w:lineRule="auto"/>
    </w:pPr>
    <w:rPr>
      <w:rFonts w:ascii="Palanquin" w:cs="Palanquin" w:eastAsia="Palanquin" w:hAnsi="Palanquin"/>
      <w:color w:val="283278"/>
      <w:sz w:val="32"/>
      <w:szCs w:val="32"/>
    </w:rPr>
  </w:style>
  <w:style w:type="paragraph" w:styleId="Heading3">
    <w:name w:val="heading 3"/>
    <w:basedOn w:val="Normal"/>
    <w:next w:val="Normal"/>
    <w:pPr>
      <w:keepNext w:val="1"/>
      <w:keepLines w:val="1"/>
      <w:spacing w:after="80" w:before="320" w:lineRule="auto"/>
    </w:pPr>
    <w:rPr>
      <w:rFonts w:ascii="Palanquin" w:cs="Palanquin" w:eastAsia="Palanquin" w:hAnsi="Palanquin"/>
      <w:color w:val="283278"/>
      <w:sz w:val="28"/>
      <w:szCs w:val="28"/>
    </w:rPr>
  </w:style>
  <w:style w:type="paragraph" w:styleId="Heading4">
    <w:name w:val="heading 4"/>
    <w:basedOn w:val="Normal"/>
    <w:next w:val="Normal"/>
    <w:pPr>
      <w:keepNext w:val="1"/>
      <w:keepLines w:val="1"/>
      <w:spacing w:after="80" w:before="280" w:lineRule="auto"/>
    </w:pPr>
    <w:rPr>
      <w:rFonts w:ascii="Palanquin" w:cs="Palanquin" w:eastAsia="Palanquin" w:hAnsi="Palanquin"/>
      <w:color w:val="283278"/>
      <w:sz w:val="24"/>
      <w:szCs w:val="24"/>
    </w:rPr>
  </w:style>
  <w:style w:type="paragraph" w:styleId="Heading5">
    <w:name w:val="heading 5"/>
    <w:basedOn w:val="Normal"/>
    <w:next w:val="Normal"/>
    <w:pPr>
      <w:keepNext w:val="1"/>
      <w:keepLines w:val="1"/>
      <w:spacing w:after="80" w:before="240" w:lineRule="auto"/>
    </w:pPr>
    <w:rPr>
      <w:rFonts w:ascii="Palanquin" w:cs="Palanquin" w:eastAsia="Palanquin" w:hAnsi="Palanquin"/>
      <w:color w:val="283278"/>
    </w:rPr>
  </w:style>
  <w:style w:type="paragraph" w:styleId="Heading6">
    <w:name w:val="heading 6"/>
    <w:basedOn w:val="Normal"/>
    <w:next w:val="Normal"/>
    <w:pPr>
      <w:keepNext w:val="1"/>
      <w:keepLines w:val="1"/>
      <w:spacing w:after="80" w:before="240" w:lineRule="auto"/>
    </w:pPr>
    <w:rPr>
      <w:rFonts w:ascii="Palanquin" w:cs="Palanquin" w:eastAsia="Palanquin" w:hAnsi="Palanquin"/>
      <w:i w:val="1"/>
      <w:iCs w:val="1"/>
      <w:color w:val="283278"/>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thewritingrevolution.org/about/the-book/"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aytoneOne-regular.ttf"/><Relationship Id="rId2" Type="http://schemas.openxmlformats.org/officeDocument/2006/relationships/font" Target="fonts/Palanquin-regular.ttf"/><Relationship Id="rId3" Type="http://schemas.openxmlformats.org/officeDocument/2006/relationships/font" Target="fonts/Palanquin-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knowledgematterscampaig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